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color w:val="auto"/>
          <w:sz w:val="84"/>
          <w:szCs w:val="84"/>
        </w:rPr>
      </w:pPr>
    </w:p>
    <w:p>
      <w:pPr>
        <w:rPr>
          <w:rFonts w:hint="eastAsia" w:ascii="黑体" w:eastAsia="黑体"/>
          <w:color w:val="auto"/>
          <w:sz w:val="84"/>
          <w:szCs w:val="84"/>
        </w:rPr>
      </w:pPr>
    </w:p>
    <w:p>
      <w:pPr>
        <w:rPr>
          <w:rFonts w:hint="eastAsia" w:ascii="黑体" w:eastAsia="黑体"/>
          <w:color w:val="auto"/>
          <w:sz w:val="84"/>
          <w:szCs w:val="84"/>
        </w:rPr>
      </w:pPr>
    </w:p>
    <w:p>
      <w:pPr>
        <w:jc w:val="center"/>
        <w:rPr>
          <w:rFonts w:hint="eastAsia" w:ascii="文星简大标宋" w:eastAsia="文星简大标宋"/>
          <w:color w:val="auto"/>
          <w:sz w:val="84"/>
          <w:szCs w:val="84"/>
        </w:rPr>
      </w:pPr>
      <w:r>
        <w:rPr>
          <w:rFonts w:hint="eastAsia" w:ascii="文星简大标宋" w:eastAsia="文星简大标宋"/>
          <w:color w:val="auto"/>
          <w:sz w:val="84"/>
          <w:szCs w:val="84"/>
        </w:rPr>
        <w:t>2019年曲阜市图书馆部门预算</w:t>
      </w:r>
    </w:p>
    <w:p>
      <w:pPr>
        <w:rPr>
          <w:rFonts w:hint="eastAsia"/>
          <w:color w:val="auto"/>
          <w:sz w:val="52"/>
          <w:szCs w:val="52"/>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spacing w:line="580" w:lineRule="exact"/>
        <w:rPr>
          <w:rFonts w:hint="eastAsia"/>
          <w:color w:val="auto"/>
        </w:rPr>
      </w:pPr>
      <w:r>
        <w:rPr>
          <w:color w:val="auto"/>
        </w:rPr>
        <w:br w:type="page"/>
      </w:r>
    </w:p>
    <w:p>
      <w:pPr>
        <w:spacing w:line="580" w:lineRule="exact"/>
        <w:jc w:val="center"/>
        <w:rPr>
          <w:rFonts w:ascii="黑体" w:eastAsia="黑体"/>
          <w:sz w:val="44"/>
          <w:szCs w:val="44"/>
        </w:rPr>
      </w:pPr>
      <w:r>
        <w:rPr>
          <w:rFonts w:hint="eastAsia" w:ascii="黑体" w:eastAsia="黑体"/>
          <w:sz w:val="44"/>
          <w:szCs w:val="44"/>
        </w:rPr>
        <w:t>目  录</w:t>
      </w:r>
    </w:p>
    <w:p>
      <w:pPr>
        <w:spacing w:line="580" w:lineRule="exact"/>
        <w:rPr>
          <w:rFonts w:ascii="黑体" w:eastAsia="黑体"/>
          <w:sz w:val="36"/>
          <w:szCs w:val="36"/>
        </w:rPr>
      </w:pPr>
      <w:r>
        <w:rPr>
          <w:rFonts w:hint="eastAsia" w:ascii="黑体" w:eastAsia="黑体"/>
          <w:sz w:val="32"/>
          <w:szCs w:val="32"/>
        </w:rPr>
        <w:t>第一部分</w:t>
      </w:r>
      <w:r>
        <w:rPr>
          <w:rFonts w:hint="eastAsia" w:ascii="黑体" w:hAnsi="黑体" w:eastAsia="黑体"/>
          <w:sz w:val="32"/>
          <w:szCs w:val="32"/>
        </w:rPr>
        <w:t xml:space="preserve"> </w:t>
      </w:r>
      <w:r>
        <w:rPr>
          <w:rFonts w:hint="eastAsia" w:ascii="黑体" w:eastAsia="黑体"/>
          <w:sz w:val="32"/>
          <w:szCs w:val="32"/>
        </w:rPr>
        <w:t>部门概况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spacing w:line="58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二、部门预算单位构成 </w:t>
      </w:r>
    </w:p>
    <w:p>
      <w:pPr>
        <w:spacing w:line="580" w:lineRule="exact"/>
        <w:rPr>
          <w:rFonts w:ascii="黑体" w:eastAsia="黑体"/>
          <w:sz w:val="32"/>
          <w:szCs w:val="32"/>
        </w:rPr>
      </w:pPr>
      <w:r>
        <w:rPr>
          <w:rFonts w:hint="eastAsia" w:ascii="黑体" w:eastAsia="黑体"/>
          <w:sz w:val="32"/>
          <w:szCs w:val="32"/>
        </w:rPr>
        <w:t>第二部分 2019年部门预算表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一、收支预算总表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二、收入预算表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三、支出预算表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四、财政拨款收支预算表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六、政府性基金预算支出表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七、国有资本经营预算支出表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八、财政拨款安排的基本支出预算表（部门预算支出经济分类科目）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九、财政拨款安排的基本支出预算表（政府预算支出经济分类科目）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十、政府采购预算表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十一、一般公共预算“三公”经费支出表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十二、项目支出表</w:t>
      </w:r>
    </w:p>
    <w:p>
      <w:pPr>
        <w:spacing w:line="580" w:lineRule="exact"/>
        <w:ind w:left="1424" w:hanging="1424" w:hangingChars="445"/>
        <w:rPr>
          <w:rFonts w:ascii="黑体" w:eastAsia="黑体"/>
          <w:sz w:val="32"/>
          <w:szCs w:val="32"/>
        </w:rPr>
      </w:pPr>
      <w:r>
        <w:rPr>
          <w:rFonts w:hint="eastAsia" w:ascii="黑体" w:eastAsia="黑体"/>
          <w:sz w:val="32"/>
          <w:szCs w:val="32"/>
        </w:rPr>
        <w:t>第三部分 2019年部门预算情况和重要事项说明</w:t>
      </w:r>
    </w:p>
    <w:p>
      <w:pPr>
        <w:rPr>
          <w:rFonts w:ascii="黑体" w:eastAsia="黑体"/>
          <w:sz w:val="32"/>
          <w:szCs w:val="32"/>
        </w:rPr>
      </w:pPr>
      <w:r>
        <w:rPr>
          <w:rFonts w:hint="eastAsia" w:ascii="黑体" w:eastAsia="黑体"/>
          <w:sz w:val="32"/>
          <w:szCs w:val="32"/>
        </w:rPr>
        <w:t>第四部分 名词解释</w:t>
      </w:r>
    </w:p>
    <w:p>
      <w:pPr>
        <w:rPr>
          <w:rFonts w:hint="eastAsia" w:ascii="黑体" w:eastAsia="黑体"/>
          <w:b/>
          <w:color w:val="auto"/>
          <w:sz w:val="36"/>
          <w:szCs w:val="36"/>
        </w:rPr>
      </w:pPr>
    </w:p>
    <w:p>
      <w:pPr>
        <w:rPr>
          <w:rFonts w:hint="eastAsia" w:ascii="黑体" w:eastAsia="黑体"/>
          <w:b/>
          <w:color w:val="auto"/>
          <w:sz w:val="36"/>
          <w:szCs w:val="36"/>
        </w:rPr>
      </w:pPr>
    </w:p>
    <w:p>
      <w:pPr>
        <w:rPr>
          <w:rFonts w:hint="eastAsia" w:ascii="黑体" w:eastAsia="黑体"/>
          <w:b/>
          <w:color w:val="auto"/>
          <w:sz w:val="36"/>
          <w:szCs w:val="36"/>
        </w:rPr>
      </w:pPr>
    </w:p>
    <w:p>
      <w:pPr>
        <w:rPr>
          <w:rFonts w:hint="eastAsia" w:ascii="黑体" w:eastAsia="黑体"/>
          <w:b/>
          <w:color w:val="auto"/>
          <w:sz w:val="36"/>
          <w:szCs w:val="36"/>
        </w:rPr>
      </w:pPr>
    </w:p>
    <w:p>
      <w:pPr>
        <w:rPr>
          <w:rFonts w:hint="eastAsia" w:ascii="黑体" w:eastAsia="黑体"/>
          <w:b/>
          <w:color w:val="auto"/>
          <w:sz w:val="36"/>
          <w:szCs w:val="36"/>
        </w:rPr>
      </w:pPr>
    </w:p>
    <w:p>
      <w:pPr>
        <w:rPr>
          <w:rFonts w:hint="eastAsia" w:ascii="黑体" w:eastAsia="黑体"/>
          <w:color w:val="auto"/>
          <w:sz w:val="52"/>
          <w:szCs w:val="52"/>
        </w:rPr>
      </w:pPr>
    </w:p>
    <w:p>
      <w:pPr>
        <w:rPr>
          <w:rFonts w:hint="eastAsia" w:ascii="黑体" w:eastAsia="黑体"/>
          <w:color w:val="auto"/>
          <w:sz w:val="52"/>
          <w:szCs w:val="52"/>
        </w:rPr>
      </w:pPr>
    </w:p>
    <w:p>
      <w:pPr>
        <w:rPr>
          <w:rFonts w:hint="eastAsia" w:ascii="黑体" w:eastAsia="黑体"/>
          <w:color w:val="auto"/>
          <w:sz w:val="52"/>
          <w:szCs w:val="52"/>
        </w:rPr>
      </w:pPr>
    </w:p>
    <w:p>
      <w:pPr>
        <w:rPr>
          <w:rFonts w:hint="eastAsia" w:ascii="黑体" w:eastAsia="黑体"/>
          <w:color w:val="auto"/>
          <w:sz w:val="52"/>
          <w:szCs w:val="52"/>
        </w:rPr>
      </w:pPr>
      <w:r>
        <w:rPr>
          <w:rFonts w:hint="eastAsia" w:ascii="黑体" w:eastAsia="黑体"/>
          <w:color w:val="auto"/>
          <w:sz w:val="52"/>
          <w:szCs w:val="52"/>
        </w:rPr>
        <w:t xml:space="preserve">第一部分 </w:t>
      </w:r>
    </w:p>
    <w:p>
      <w:pPr>
        <w:ind w:firstLine="1040" w:firstLineChars="200"/>
        <w:rPr>
          <w:rFonts w:hint="eastAsia" w:ascii="黑体" w:eastAsia="黑体"/>
          <w:color w:val="auto"/>
          <w:sz w:val="52"/>
          <w:szCs w:val="52"/>
        </w:rPr>
      </w:pPr>
    </w:p>
    <w:p>
      <w:pPr>
        <w:ind w:firstLine="1040" w:firstLineChars="200"/>
        <w:rPr>
          <w:rFonts w:hint="eastAsia" w:ascii="黑体" w:eastAsia="黑体"/>
          <w:color w:val="auto"/>
          <w:sz w:val="52"/>
          <w:szCs w:val="52"/>
        </w:rPr>
      </w:pPr>
    </w:p>
    <w:p>
      <w:pPr>
        <w:jc w:val="center"/>
        <w:rPr>
          <w:rFonts w:hint="eastAsia" w:ascii="黑体" w:eastAsia="黑体"/>
          <w:color w:val="auto"/>
          <w:sz w:val="52"/>
          <w:szCs w:val="52"/>
        </w:rPr>
      </w:pPr>
      <w:r>
        <w:rPr>
          <w:rFonts w:hint="eastAsia" w:ascii="黑体" w:eastAsia="黑体"/>
          <w:color w:val="auto"/>
          <w:sz w:val="52"/>
          <w:szCs w:val="52"/>
        </w:rPr>
        <w:t>部门概况</w:t>
      </w:r>
    </w:p>
    <w:p>
      <w:pPr>
        <w:rPr>
          <w:rFonts w:hint="eastAsia" w:ascii="黑体" w:eastAsia="黑体"/>
          <w:b/>
          <w:color w:val="auto"/>
          <w:sz w:val="36"/>
          <w:szCs w:val="36"/>
        </w:rPr>
      </w:pPr>
    </w:p>
    <w:p>
      <w:pPr>
        <w:rPr>
          <w:rFonts w:hint="eastAsia" w:ascii="黑体" w:eastAsia="黑体"/>
          <w:b/>
          <w:color w:val="auto"/>
          <w:sz w:val="36"/>
          <w:szCs w:val="36"/>
        </w:rPr>
      </w:pPr>
    </w:p>
    <w:p>
      <w:pPr>
        <w:rPr>
          <w:rFonts w:hint="eastAsia" w:ascii="黑体" w:eastAsia="黑体"/>
          <w:b/>
          <w:color w:val="auto"/>
          <w:sz w:val="36"/>
          <w:szCs w:val="36"/>
        </w:rPr>
      </w:pPr>
    </w:p>
    <w:p>
      <w:pPr>
        <w:rPr>
          <w:rFonts w:hint="eastAsia" w:ascii="黑体" w:eastAsia="黑体"/>
          <w:b/>
          <w:color w:val="auto"/>
          <w:sz w:val="36"/>
          <w:szCs w:val="36"/>
        </w:rPr>
      </w:pPr>
    </w:p>
    <w:p>
      <w:pPr>
        <w:rPr>
          <w:rFonts w:hint="eastAsia" w:ascii="黑体" w:eastAsia="黑体"/>
          <w:b/>
          <w:color w:val="auto"/>
          <w:sz w:val="36"/>
          <w:szCs w:val="36"/>
        </w:rPr>
      </w:pPr>
    </w:p>
    <w:p>
      <w:pPr>
        <w:rPr>
          <w:rFonts w:hint="eastAsia" w:ascii="黑体" w:eastAsia="黑体"/>
          <w:b/>
          <w:color w:val="auto"/>
          <w:sz w:val="36"/>
          <w:szCs w:val="36"/>
        </w:rPr>
      </w:pPr>
    </w:p>
    <w:p>
      <w:pPr>
        <w:numPr>
          <w:ilvl w:val="0"/>
          <w:numId w:val="0"/>
        </w:numPr>
        <w:spacing w:line="580" w:lineRule="exact"/>
        <w:rPr>
          <w:rFonts w:hint="eastAsia" w:ascii="黑体" w:eastAsia="黑体"/>
          <w:color w:val="auto"/>
          <w:sz w:val="32"/>
          <w:szCs w:val="32"/>
        </w:rPr>
      </w:pPr>
      <w:r>
        <w:rPr>
          <w:rFonts w:hint="eastAsia" w:ascii="黑体" w:eastAsia="黑体"/>
          <w:b w:val="0"/>
          <w:bCs w:val="0"/>
          <w:color w:val="auto"/>
          <w:sz w:val="32"/>
          <w:szCs w:val="32"/>
          <w:lang w:eastAsia="zh-CN"/>
        </w:rPr>
        <w:t>一、</w:t>
      </w:r>
      <w:r>
        <w:rPr>
          <w:rFonts w:hint="eastAsia" w:ascii="黑体" w:eastAsia="黑体"/>
          <w:b w:val="0"/>
          <w:bCs w:val="0"/>
          <w:color w:val="auto"/>
          <w:sz w:val="32"/>
          <w:szCs w:val="32"/>
        </w:rPr>
        <w:t>主要职能</w:t>
      </w:r>
    </w:p>
    <w:p>
      <w:pPr>
        <w:snapToGrid w:val="0"/>
        <w:spacing w:line="580" w:lineRule="exact"/>
        <w:ind w:firstLine="640" w:firstLineChars="200"/>
        <w:rPr>
          <w:rFonts w:hint="eastAsia" w:ascii="仿宋_GB2312" w:hAnsi="宋体" w:eastAsia="仿宋_GB2312" w:cs="Courier New"/>
          <w:color w:val="auto"/>
          <w:sz w:val="32"/>
          <w:szCs w:val="32"/>
        </w:rPr>
      </w:pPr>
      <w:r>
        <w:rPr>
          <w:rFonts w:hint="eastAsia" w:ascii="仿宋_GB2312" w:hAnsi="宋体" w:eastAsia="仿宋_GB2312" w:cs="Courier New"/>
          <w:color w:val="auto"/>
          <w:sz w:val="32"/>
          <w:szCs w:val="32"/>
        </w:rPr>
        <w:t>保障人民民群众最基本的文化权益，大力发展社会主义先进文化，推动社会主义经济社会发展和社会主义和谐社会的建设</w:t>
      </w:r>
      <w:r>
        <w:rPr>
          <w:rFonts w:hint="eastAsia" w:ascii="仿宋_GB2312" w:hAnsi="宋体" w:eastAsia="仿宋_GB2312" w:cs="Courier New"/>
          <w:color w:val="auto"/>
          <w:sz w:val="32"/>
          <w:szCs w:val="32"/>
          <w:lang w:eastAsia="zh-CN"/>
        </w:rPr>
        <w:t>。</w:t>
      </w:r>
      <w:r>
        <w:rPr>
          <w:rFonts w:hint="eastAsia" w:ascii="仿宋_GB2312" w:hAnsi="宋体" w:eastAsia="仿宋_GB2312" w:cs="Courier New"/>
          <w:color w:val="auto"/>
          <w:sz w:val="32"/>
          <w:szCs w:val="32"/>
        </w:rPr>
        <w:t>广泛开展国学教育和特色文化体验活动，传承国学精髓，实现传统文化教育与德育教育的有机结合。科学合理地使用图书经费，拟订文献资源建设计划书，兼顾纸质文献、电子文献和其他载体的文献采集，逐步建立能适应曲阜特色文化、科研需要，反映曲阜特点的馆藏体系。利用图书、期刊、资料、报纸、图片、声像、电子文献等各种媒体，配合社会进行思想政治教育，宣传马列主义、毛泽东思想、邓小平理论、三个代表的重要思想、习近平书记重要讲话精神以及政府的政策法令。负责书刊资料和电子文献资源的整理和管理工作。合理组织馆藏，充分发挥文献资源的作用，努力改善服务态度，提高服务质量。根据科学研究的成果和课外阅读的需要，开展流通阅读和读者辅导工作。开展图书馆学、情报学的理论研究，提高工作人员的业务能力和管理水平。推进和实施现代化技术在图书馆的应用，不断提高图书管理和服务手段的现代化水平。指导农家书屋的建设与管理，加强农家书屋的工作人员的培训，确保农家书屋发挥效能。</w:t>
      </w:r>
    </w:p>
    <w:p>
      <w:pPr>
        <w:spacing w:line="580" w:lineRule="exact"/>
        <w:ind w:firstLine="640" w:firstLineChars="200"/>
        <w:rPr>
          <w:rFonts w:hint="eastAsia" w:ascii="黑体" w:eastAsia="黑体"/>
          <w:color w:val="auto"/>
          <w:sz w:val="32"/>
          <w:szCs w:val="32"/>
        </w:rPr>
      </w:pPr>
      <w:r>
        <w:rPr>
          <w:rFonts w:hint="eastAsia" w:ascii="黑体" w:eastAsia="黑体"/>
          <w:color w:val="auto"/>
          <w:sz w:val="32"/>
          <w:szCs w:val="32"/>
        </w:rPr>
        <w:t>二、部门预算单位构成</w:t>
      </w:r>
    </w:p>
    <w:p>
      <w:pPr>
        <w:snapToGrid w:val="0"/>
        <w:spacing w:line="580" w:lineRule="exact"/>
        <w:ind w:firstLine="640" w:firstLineChars="200"/>
        <w:rPr>
          <w:rFonts w:hint="eastAsia" w:ascii="仿宋_GB2312" w:hAnsi="宋体" w:eastAsia="仿宋_GB2312" w:cs="Courier New"/>
          <w:color w:val="auto"/>
          <w:sz w:val="32"/>
          <w:szCs w:val="32"/>
        </w:rPr>
      </w:pPr>
      <w:r>
        <w:rPr>
          <w:rFonts w:hint="eastAsia" w:ascii="仿宋_GB2312" w:hAnsi="宋体" w:eastAsia="仿宋_GB2312" w:cs="Courier New"/>
          <w:color w:val="auto"/>
          <w:sz w:val="32"/>
          <w:szCs w:val="32"/>
        </w:rPr>
        <w:t>曲阜市图书馆部门预算包括曲阜市图书馆预算。</w:t>
      </w:r>
    </w:p>
    <w:p>
      <w:pPr>
        <w:snapToGrid w:val="0"/>
        <w:spacing w:line="580" w:lineRule="exact"/>
        <w:ind w:firstLine="640" w:firstLineChars="200"/>
        <w:rPr>
          <w:rFonts w:hint="eastAsia" w:ascii="仿宋_GB2312" w:hAnsi="宋体" w:eastAsia="仿宋_GB2312" w:cs="Courier New"/>
          <w:color w:val="auto"/>
          <w:sz w:val="32"/>
          <w:szCs w:val="32"/>
        </w:rPr>
      </w:pPr>
      <w:r>
        <w:rPr>
          <w:rFonts w:hint="eastAsia" w:ascii="仿宋_GB2312" w:hAnsi="宋体" w:eastAsia="仿宋_GB2312" w:cs="Courier New"/>
          <w:color w:val="auto"/>
          <w:sz w:val="32"/>
          <w:szCs w:val="32"/>
        </w:rPr>
        <w:t>纳入曲阜市图书馆2019年部门预算编制范围的二级预算单位包括：无</w:t>
      </w:r>
    </w:p>
    <w:p>
      <w:pPr>
        <w:sectPr>
          <w:pgSz w:w="11906" w:h="16838"/>
          <w:pgMar w:top="2098" w:right="1474" w:bottom="1871" w:left="1587" w:header="851" w:footer="992" w:gutter="0"/>
          <w:cols w:space="425" w:num="1"/>
          <w:docGrid w:type="lines" w:linePitch="312" w:charSpace="0"/>
        </w:sectPr>
      </w:pPr>
    </w:p>
    <w:p>
      <w:pPr>
        <w:rPr>
          <w:rFonts w:hint="eastAsia" w:ascii="黑体" w:eastAsia="黑体"/>
          <w:sz w:val="44"/>
          <w:szCs w:val="44"/>
        </w:rPr>
      </w:pPr>
    </w:p>
    <w:p>
      <w:pPr>
        <w:rPr>
          <w:rFonts w:hint="eastAsia" w:ascii="黑体" w:eastAsia="黑体"/>
          <w:sz w:val="44"/>
          <w:szCs w:val="44"/>
        </w:rPr>
      </w:pPr>
    </w:p>
    <w:p>
      <w:pPr>
        <w:rPr>
          <w:rFonts w:hint="eastAsia" w:ascii="黑体" w:eastAsia="黑体"/>
          <w:sz w:val="44"/>
          <w:szCs w:val="44"/>
        </w:rPr>
      </w:pPr>
    </w:p>
    <w:p>
      <w:pPr>
        <w:rPr>
          <w:rFonts w:hint="eastAsia" w:ascii="黑体" w:eastAsia="黑体"/>
          <w:sz w:val="44"/>
          <w:szCs w:val="44"/>
        </w:rPr>
      </w:pPr>
    </w:p>
    <w:p>
      <w:pPr>
        <w:rPr>
          <w:rFonts w:hint="eastAsia" w:ascii="黑体" w:eastAsia="黑体"/>
          <w:sz w:val="44"/>
          <w:szCs w:val="44"/>
        </w:rPr>
      </w:pPr>
    </w:p>
    <w:p>
      <w:pPr>
        <w:rPr>
          <w:rFonts w:hint="eastAsia" w:ascii="黑体" w:eastAsia="黑体"/>
          <w:sz w:val="44"/>
          <w:szCs w:val="44"/>
        </w:rPr>
      </w:pPr>
    </w:p>
    <w:p>
      <w:pPr>
        <w:rPr>
          <w:rFonts w:hint="eastAsia" w:ascii="黑体" w:eastAsia="黑体"/>
          <w:sz w:val="44"/>
          <w:szCs w:val="44"/>
        </w:rPr>
      </w:pPr>
      <w:r>
        <w:rPr>
          <w:rFonts w:hint="eastAsia" w:ascii="黑体" w:eastAsia="黑体"/>
          <w:sz w:val="44"/>
          <w:szCs w:val="44"/>
        </w:rPr>
        <w:t>第二部分</w:t>
      </w:r>
    </w:p>
    <w:p>
      <w:pPr>
        <w:rPr>
          <w:rFonts w:hint="eastAsia" w:ascii="黑体" w:eastAsia="黑体"/>
          <w:sz w:val="44"/>
          <w:szCs w:val="44"/>
        </w:rPr>
      </w:pPr>
    </w:p>
    <w:p>
      <w:pPr>
        <w:jc w:val="center"/>
        <w:rPr>
          <w:rFonts w:hint="eastAsia" w:ascii="黑体" w:eastAsia="黑体"/>
          <w:sz w:val="44"/>
          <w:szCs w:val="44"/>
        </w:rPr>
      </w:pPr>
      <w:r>
        <w:rPr>
          <w:rFonts w:hint="eastAsia" w:ascii="黑体" w:eastAsia="黑体"/>
          <w:sz w:val="44"/>
          <w:szCs w:val="44"/>
        </w:rPr>
        <w:t>2019年部门预算表</w:t>
      </w:r>
    </w:p>
    <w:p>
      <w:pPr>
        <w:sectPr>
          <w:pgSz w:w="11906" w:h="16838"/>
          <w:pgMar w:top="1440" w:right="1800" w:bottom="1440" w:left="1800" w:header="851" w:footer="992" w:gutter="0"/>
          <w:cols w:space="425" w:num="1"/>
          <w:docGrid w:type="lines" w:linePitch="312" w:charSpace="0"/>
        </w:sectPr>
      </w:pPr>
    </w:p>
    <w:tbl>
      <w:tblPr>
        <w:tblStyle w:val="3"/>
        <w:tblW w:w="8718" w:type="dxa"/>
        <w:tblInd w:w="93" w:type="dxa"/>
        <w:shd w:val="clear" w:color="auto" w:fill="auto"/>
        <w:tblLayout w:type="autofit"/>
        <w:tblCellMar>
          <w:top w:w="0" w:type="dxa"/>
          <w:left w:w="108" w:type="dxa"/>
          <w:bottom w:w="0" w:type="dxa"/>
          <w:right w:w="108" w:type="dxa"/>
        </w:tblCellMar>
      </w:tblPr>
      <w:tblGrid>
        <w:gridCol w:w="2916"/>
        <w:gridCol w:w="1565"/>
        <w:gridCol w:w="3216"/>
        <w:gridCol w:w="1565"/>
      </w:tblGrid>
      <w:tr>
        <w:tblPrEx>
          <w:shd w:val="clear" w:color="auto" w:fill="auto"/>
          <w:tblCellMar>
            <w:top w:w="0" w:type="dxa"/>
            <w:left w:w="108" w:type="dxa"/>
            <w:bottom w:w="0" w:type="dxa"/>
            <w:right w:w="108" w:type="dxa"/>
          </w:tblCellMar>
        </w:tblPrEx>
        <w:trPr>
          <w:trHeight w:val="90" w:hRule="atLeast"/>
        </w:trPr>
        <w:tc>
          <w:tcPr>
            <w:tcW w:w="2794"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56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2794"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565"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部门公开表1</w:t>
            </w:r>
          </w:p>
        </w:tc>
      </w:tr>
      <w:tr>
        <w:tblPrEx>
          <w:tblCellMar>
            <w:top w:w="0" w:type="dxa"/>
            <w:left w:w="108" w:type="dxa"/>
            <w:bottom w:w="0" w:type="dxa"/>
            <w:right w:w="108" w:type="dxa"/>
          </w:tblCellMar>
        </w:tblPrEx>
        <w:trPr>
          <w:trHeight w:val="158" w:hRule="atLeast"/>
        </w:trPr>
        <w:tc>
          <w:tcPr>
            <w:tcW w:w="0" w:type="auto"/>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8"/>
                <w:szCs w:val="38"/>
                <w:u w:val="none"/>
              </w:rPr>
            </w:pPr>
            <w:r>
              <w:rPr>
                <w:rFonts w:hint="eastAsia" w:ascii="宋体" w:hAnsi="宋体" w:eastAsia="宋体" w:cs="宋体"/>
                <w:i w:val="0"/>
                <w:iCs w:val="0"/>
                <w:color w:val="000000"/>
                <w:kern w:val="0"/>
                <w:sz w:val="38"/>
                <w:szCs w:val="38"/>
                <w:u w:val="none"/>
                <w:lang w:val="en-US" w:eastAsia="zh-CN" w:bidi="ar"/>
              </w:rPr>
              <w:t>表1.收支预算总表</w:t>
            </w:r>
          </w:p>
        </w:tc>
      </w:tr>
      <w:tr>
        <w:tblPrEx>
          <w:tblCellMar>
            <w:top w:w="0" w:type="dxa"/>
            <w:left w:w="108" w:type="dxa"/>
            <w:bottom w:w="0" w:type="dxa"/>
            <w:right w:w="108" w:type="dxa"/>
          </w:tblCellMar>
        </w:tblPrEx>
        <w:trPr>
          <w:trHeight w:val="90" w:hRule="atLeast"/>
        </w:trPr>
        <w:tc>
          <w:tcPr>
            <w:tcW w:w="0" w:type="auto"/>
            <w:gridSpan w:val="3"/>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部门（单位）：曲阜市图书馆</w:t>
            </w:r>
          </w:p>
        </w:tc>
        <w:tc>
          <w:tcPr>
            <w:tcW w:w="0" w:type="auto"/>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预算数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四、事业单位经营收入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191.47 </w:t>
            </w: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九、社会保险基金支出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二十七、债务还本支出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二十八、债务付息支出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二十九、债务发行费用支出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191.47 </w:t>
            </w: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用事业基金弥补收支差额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年终结转结余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191.47 </w:t>
            </w:r>
          </w:p>
        </w:tc>
      </w:tr>
    </w:tbl>
    <w:p>
      <w:pPr>
        <w:sectPr>
          <w:pgSz w:w="11906" w:h="16838"/>
          <w:pgMar w:top="1440" w:right="1800" w:bottom="1440" w:left="1800" w:header="851" w:footer="992" w:gutter="0"/>
          <w:cols w:space="425" w:num="1"/>
          <w:docGrid w:type="lines" w:linePitch="312" w:charSpace="0"/>
        </w:sectPr>
      </w:pPr>
    </w:p>
    <w:tbl>
      <w:tblPr>
        <w:tblStyle w:val="3"/>
        <w:tblW w:w="14800" w:type="dxa"/>
        <w:tblInd w:w="93" w:type="dxa"/>
        <w:shd w:val="clear" w:color="auto" w:fill="auto"/>
        <w:tblLayout w:type="autofit"/>
        <w:tblCellMar>
          <w:top w:w="0" w:type="dxa"/>
          <w:left w:w="108" w:type="dxa"/>
          <w:bottom w:w="0" w:type="dxa"/>
          <w:right w:w="108" w:type="dxa"/>
        </w:tblCellMar>
      </w:tblPr>
      <w:tblGrid>
        <w:gridCol w:w="516"/>
        <w:gridCol w:w="416"/>
        <w:gridCol w:w="416"/>
        <w:gridCol w:w="714"/>
        <w:gridCol w:w="1072"/>
        <w:gridCol w:w="756"/>
        <w:gridCol w:w="756"/>
        <w:gridCol w:w="756"/>
        <w:gridCol w:w="756"/>
        <w:gridCol w:w="670"/>
        <w:gridCol w:w="591"/>
        <w:gridCol w:w="591"/>
        <w:gridCol w:w="446"/>
        <w:gridCol w:w="446"/>
        <w:gridCol w:w="446"/>
        <w:gridCol w:w="446"/>
        <w:gridCol w:w="446"/>
        <w:gridCol w:w="446"/>
        <w:gridCol w:w="446"/>
        <w:gridCol w:w="591"/>
        <w:gridCol w:w="591"/>
        <w:gridCol w:w="670"/>
        <w:gridCol w:w="591"/>
        <w:gridCol w:w="614"/>
        <w:gridCol w:w="616"/>
      </w:tblGrid>
      <w:tr>
        <w:tblPrEx>
          <w:shd w:val="clear" w:color="auto" w:fill="auto"/>
          <w:tblCellMar>
            <w:top w:w="0" w:type="dxa"/>
            <w:left w:w="108" w:type="dxa"/>
            <w:bottom w:w="0" w:type="dxa"/>
            <w:right w:w="108" w:type="dxa"/>
          </w:tblCellMar>
        </w:tblPrEx>
        <w:trPr>
          <w:trHeight w:val="312" w:hRule="atLeast"/>
        </w:trPr>
        <w:tc>
          <w:tcPr>
            <w:tcW w:w="14800" w:type="dxa"/>
            <w:gridSpan w:val="25"/>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4"/>
                <w:szCs w:val="34"/>
                <w:u w:val="none"/>
              </w:rPr>
            </w:pPr>
            <w:r>
              <w:rPr>
                <w:rFonts w:hint="eastAsia" w:ascii="宋体" w:hAnsi="宋体" w:eastAsia="宋体" w:cs="宋体"/>
                <w:i w:val="0"/>
                <w:iCs w:val="0"/>
                <w:color w:val="000000"/>
                <w:kern w:val="0"/>
                <w:sz w:val="34"/>
                <w:szCs w:val="34"/>
                <w:u w:val="none"/>
                <w:lang w:val="en-US" w:eastAsia="zh-CN" w:bidi="ar"/>
              </w:rPr>
              <w:t>表2.收入预算表</w:t>
            </w:r>
          </w:p>
        </w:tc>
      </w:tr>
      <w:tr>
        <w:tblPrEx>
          <w:tblCellMar>
            <w:top w:w="0" w:type="dxa"/>
            <w:left w:w="108" w:type="dxa"/>
            <w:bottom w:w="0" w:type="dxa"/>
            <w:right w:w="108" w:type="dxa"/>
          </w:tblCellMar>
        </w:tblPrEx>
        <w:trPr>
          <w:trHeight w:val="488" w:hRule="atLeast"/>
        </w:trPr>
        <w:tc>
          <w:tcPr>
            <w:tcW w:w="14800" w:type="dxa"/>
            <w:gridSpan w:val="25"/>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4"/>
                <w:szCs w:val="34"/>
                <w:u w:val="none"/>
              </w:rPr>
            </w:pPr>
          </w:p>
        </w:tc>
      </w:tr>
      <w:tr>
        <w:tblPrEx>
          <w:tblCellMar>
            <w:top w:w="0" w:type="dxa"/>
            <w:left w:w="108" w:type="dxa"/>
            <w:bottom w:w="0" w:type="dxa"/>
            <w:right w:w="108" w:type="dxa"/>
          </w:tblCellMar>
        </w:tblPrEx>
        <w:trPr>
          <w:trHeight w:val="335" w:hRule="atLeast"/>
        </w:trPr>
        <w:tc>
          <w:tcPr>
            <w:tcW w:w="0" w:type="auto"/>
            <w:gridSpan w:val="8"/>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w:t>
            </w:r>
          </w:p>
        </w:tc>
        <w:tc>
          <w:tcPr>
            <w:tcW w:w="0" w:type="auto"/>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gridSpan w:val="7"/>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37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40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w:t>
            </w:r>
          </w:p>
        </w:tc>
        <w:tc>
          <w:tcPr>
            <w:tcW w:w="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事业单位经营收入</w:t>
            </w:r>
          </w:p>
        </w:tc>
        <w:tc>
          <w:tcPr>
            <w:tcW w:w="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c>
          <w:tcPr>
            <w:tcW w:w="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附属单位上缴收入</w:t>
            </w:r>
          </w:p>
        </w:tc>
        <w:tc>
          <w:tcPr>
            <w:tcW w:w="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用事业基金弥补收支差额</w:t>
            </w:r>
          </w:p>
        </w:tc>
        <w:tc>
          <w:tcPr>
            <w:tcW w:w="40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w:t>
            </w:r>
          </w:p>
        </w:tc>
      </w:tr>
      <w:tr>
        <w:tblPrEx>
          <w:tblCellMar>
            <w:top w:w="0" w:type="dxa"/>
            <w:left w:w="108" w:type="dxa"/>
            <w:bottom w:w="0" w:type="dxa"/>
            <w:right w:w="108" w:type="dxa"/>
          </w:tblCellMar>
        </w:tblPrEx>
        <w:trPr>
          <w:trHeight w:val="37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w:t>
            </w: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w:t>
            </w:r>
          </w:p>
        </w:tc>
        <w:tc>
          <w:tcPr>
            <w:tcW w:w="33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其中，财政拨款结转</w:t>
            </w:r>
          </w:p>
        </w:tc>
      </w:tr>
      <w:tr>
        <w:tblPrEx>
          <w:tblCellMar>
            <w:top w:w="0" w:type="dxa"/>
            <w:left w:w="108" w:type="dxa"/>
            <w:bottom w:w="0" w:type="dxa"/>
            <w:right w:w="108" w:type="dxa"/>
          </w:tblCellMar>
        </w:tblPrEx>
        <w:trPr>
          <w:trHeight w:val="42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经费拨款</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r>
      <w:tr>
        <w:tblPrEx>
          <w:tblCellMar>
            <w:top w:w="0" w:type="dxa"/>
            <w:left w:w="108" w:type="dxa"/>
            <w:bottom w:w="0" w:type="dxa"/>
            <w:right w:w="108" w:type="dxa"/>
          </w:tblCellMar>
        </w:tblPrEx>
        <w:trPr>
          <w:trHeight w:val="10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经费拨款（补助）</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191.47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191.47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191.47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171.47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20.00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FF"/>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8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8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曲阜市图书馆</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191.47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191.47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191.47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171.47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20.00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8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8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文化旅游体育与传媒支出</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191.47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191.47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191.47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171.47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20.00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8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8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文化和旅游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191.47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191.47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191.47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171.47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20.00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8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8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图书馆</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191.47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191.47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191.47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171.47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20.00 </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8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8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bl>
    <w:p>
      <w:pPr>
        <w:rPr>
          <w:rFonts w:hint="eastAsia"/>
          <w:lang w:val="en-US" w:eastAsia="zh-CN"/>
        </w:rPr>
      </w:pPr>
      <w:r>
        <w:rPr>
          <w:rFonts w:hint="eastAsia"/>
          <w:lang w:val="en-US" w:eastAsia="zh-CN"/>
        </w:rPr>
        <w:t xml:space="preserve"> </w:t>
      </w:r>
    </w:p>
    <w:tbl>
      <w:tblPr>
        <w:tblStyle w:val="3"/>
        <w:tblW w:w="14777" w:type="dxa"/>
        <w:tblInd w:w="93" w:type="dxa"/>
        <w:shd w:val="clear" w:color="auto" w:fill="auto"/>
        <w:tblLayout w:type="autofit"/>
        <w:tblCellMar>
          <w:top w:w="0" w:type="dxa"/>
          <w:left w:w="108" w:type="dxa"/>
          <w:bottom w:w="0" w:type="dxa"/>
          <w:right w:w="108" w:type="dxa"/>
        </w:tblCellMar>
      </w:tblPr>
      <w:tblGrid>
        <w:gridCol w:w="903"/>
        <w:gridCol w:w="903"/>
        <w:gridCol w:w="903"/>
        <w:gridCol w:w="1231"/>
        <w:gridCol w:w="2873"/>
        <w:gridCol w:w="2641"/>
        <w:gridCol w:w="2613"/>
        <w:gridCol w:w="2710"/>
      </w:tblGrid>
      <w:tr>
        <w:tblPrEx>
          <w:shd w:val="clear" w:color="auto" w:fill="auto"/>
          <w:tblCellMar>
            <w:top w:w="0" w:type="dxa"/>
            <w:left w:w="108" w:type="dxa"/>
            <w:bottom w:w="0" w:type="dxa"/>
            <w:right w:w="108" w:type="dxa"/>
          </w:tblCellMar>
        </w:tblPrEx>
        <w:trPr>
          <w:trHeight w:val="308" w:hRule="atLeast"/>
        </w:trPr>
        <w:tc>
          <w:tcPr>
            <w:tcW w:w="903"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903"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903"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231"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2873"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2641"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5323"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部门公开表3</w:t>
            </w:r>
          </w:p>
        </w:tc>
      </w:tr>
      <w:tr>
        <w:tblPrEx>
          <w:tblCellMar>
            <w:top w:w="0" w:type="dxa"/>
            <w:left w:w="108" w:type="dxa"/>
            <w:bottom w:w="0" w:type="dxa"/>
            <w:right w:w="108" w:type="dxa"/>
          </w:tblCellMar>
        </w:tblPrEx>
        <w:trPr>
          <w:trHeight w:val="312" w:hRule="atLeast"/>
        </w:trPr>
        <w:tc>
          <w:tcPr>
            <w:tcW w:w="0" w:type="auto"/>
            <w:gridSpan w:val="8"/>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4"/>
                <w:szCs w:val="34"/>
                <w:u w:val="none"/>
              </w:rPr>
            </w:pPr>
            <w:r>
              <w:rPr>
                <w:rFonts w:hint="eastAsia" w:ascii="宋体" w:hAnsi="宋体" w:eastAsia="宋体" w:cs="宋体"/>
                <w:i w:val="0"/>
                <w:iCs w:val="0"/>
                <w:color w:val="000000"/>
                <w:kern w:val="0"/>
                <w:sz w:val="34"/>
                <w:szCs w:val="34"/>
                <w:u w:val="none"/>
                <w:lang w:val="en-US" w:eastAsia="zh-CN" w:bidi="ar"/>
              </w:rPr>
              <w:t>表3.支出预算表</w:t>
            </w:r>
          </w:p>
        </w:tc>
      </w:tr>
      <w:tr>
        <w:tblPrEx>
          <w:tblCellMar>
            <w:top w:w="0" w:type="dxa"/>
            <w:left w:w="108" w:type="dxa"/>
            <w:bottom w:w="0" w:type="dxa"/>
            <w:right w:w="108" w:type="dxa"/>
          </w:tblCellMar>
        </w:tblPrEx>
        <w:trPr>
          <w:trHeight w:val="473" w:hRule="atLeast"/>
        </w:trPr>
        <w:tc>
          <w:tcPr>
            <w:tcW w:w="0" w:type="auto"/>
            <w:gridSpan w:val="8"/>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4"/>
                <w:szCs w:val="34"/>
                <w:u w:val="none"/>
              </w:rPr>
            </w:pPr>
          </w:p>
        </w:tc>
      </w:tr>
      <w:tr>
        <w:tblPrEx>
          <w:tblCellMar>
            <w:top w:w="0" w:type="dxa"/>
            <w:left w:w="108" w:type="dxa"/>
            <w:bottom w:w="0" w:type="dxa"/>
            <w:right w:w="108" w:type="dxa"/>
          </w:tblCellMar>
        </w:tblPrEx>
        <w:trPr>
          <w:trHeight w:val="326" w:hRule="atLeast"/>
        </w:trPr>
        <w:tc>
          <w:tcPr>
            <w:tcW w:w="0" w:type="auto"/>
            <w:gridSpan w:val="5"/>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w:t>
            </w:r>
          </w:p>
        </w:tc>
        <w:tc>
          <w:tcPr>
            <w:tcW w:w="0" w:type="auto"/>
            <w:tcBorders>
              <w:top w:val="nil"/>
              <w:left w:val="nil"/>
              <w:bottom w:val="single" w:color="000000" w:sz="4" w:space="0"/>
              <w:right w:val="nil"/>
            </w:tcBorders>
            <w:shd w:val="clear" w:color="auto" w:fill="auto"/>
            <w:noWrap/>
            <w:vAlign w:val="center"/>
          </w:tcPr>
          <w:p>
            <w:pPr>
              <w:jc w:val="lef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jc w:val="lef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63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单位和科目名称</w:t>
            </w:r>
          </w:p>
        </w:tc>
        <w:tc>
          <w:tcPr>
            <w:tcW w:w="2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2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tblPrEx>
          <w:tblCellMar>
            <w:top w:w="0" w:type="dxa"/>
            <w:left w:w="108" w:type="dxa"/>
            <w:bottom w:w="0" w:type="dxa"/>
            <w:right w:w="108" w:type="dxa"/>
          </w:tblCellMar>
        </w:tblPrEx>
        <w:trPr>
          <w:trHeight w:val="7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191.47 </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168.47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23.00 </w:t>
            </w:r>
          </w:p>
        </w:tc>
      </w:tr>
      <w:tr>
        <w:tblPrEx>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曲阜市图书馆</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191.47 </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168.47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23.00 </w:t>
            </w:r>
          </w:p>
        </w:tc>
      </w:tr>
      <w:tr>
        <w:tblPrEx>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文化旅游体育与传媒支出</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191.47 </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168.47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23.00 </w:t>
            </w:r>
          </w:p>
        </w:tc>
      </w:tr>
      <w:tr>
        <w:tblPrEx>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文化和旅游</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191.47 </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168.47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23.00 </w:t>
            </w:r>
          </w:p>
        </w:tc>
      </w:tr>
      <w:tr>
        <w:tblPrEx>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图书馆</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191.47 </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168.47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23.00 </w:t>
            </w:r>
          </w:p>
        </w:tc>
      </w:tr>
      <w:tr>
        <w:tblPrEx>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2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FF"/>
                <w:sz w:val="18"/>
                <w:szCs w:val="18"/>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2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bl>
    <w:p>
      <w:pPr>
        <w:rPr>
          <w:rFonts w:hint="eastAsia" w:eastAsia="宋体"/>
          <w:lang w:eastAsia="zh-CN"/>
        </w:rPr>
        <w:sectPr>
          <w:pgSz w:w="16838" w:h="11906" w:orient="landscape"/>
          <w:pgMar w:top="1800" w:right="1440" w:bottom="1800" w:left="1440" w:header="851" w:footer="992" w:gutter="0"/>
          <w:cols w:space="425" w:num="1"/>
          <w:docGrid w:type="lines" w:linePitch="312" w:charSpace="0"/>
        </w:sectPr>
      </w:pPr>
    </w:p>
    <w:tbl>
      <w:tblPr>
        <w:tblStyle w:val="3"/>
        <w:tblW w:w="11136" w:type="dxa"/>
        <w:tblInd w:w="-1349" w:type="dxa"/>
        <w:shd w:val="clear" w:color="auto" w:fill="auto"/>
        <w:tblLayout w:type="fixed"/>
        <w:tblCellMar>
          <w:top w:w="0" w:type="dxa"/>
          <w:left w:w="108" w:type="dxa"/>
          <w:bottom w:w="0" w:type="dxa"/>
          <w:right w:w="108" w:type="dxa"/>
        </w:tblCellMar>
      </w:tblPr>
      <w:tblGrid>
        <w:gridCol w:w="2205"/>
        <w:gridCol w:w="945"/>
        <w:gridCol w:w="3450"/>
        <w:gridCol w:w="1035"/>
        <w:gridCol w:w="870"/>
        <w:gridCol w:w="1020"/>
        <w:gridCol w:w="1611"/>
      </w:tblGrid>
      <w:tr>
        <w:tblPrEx>
          <w:shd w:val="clear" w:color="auto" w:fill="auto"/>
          <w:tblCellMar>
            <w:top w:w="0" w:type="dxa"/>
            <w:left w:w="108" w:type="dxa"/>
            <w:bottom w:w="0" w:type="dxa"/>
            <w:right w:w="108" w:type="dxa"/>
          </w:tblCellMar>
        </w:tblPrEx>
        <w:trPr>
          <w:trHeight w:val="313" w:hRule="atLeast"/>
        </w:trPr>
        <w:tc>
          <w:tcPr>
            <w:tcW w:w="220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94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345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03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7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02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611"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部门公开表4</w:t>
            </w:r>
          </w:p>
        </w:tc>
      </w:tr>
      <w:tr>
        <w:tblPrEx>
          <w:tblCellMar>
            <w:top w:w="0" w:type="dxa"/>
            <w:left w:w="108" w:type="dxa"/>
            <w:bottom w:w="0" w:type="dxa"/>
            <w:right w:w="108" w:type="dxa"/>
          </w:tblCellMar>
        </w:tblPrEx>
        <w:trPr>
          <w:trHeight w:val="627" w:hRule="atLeast"/>
        </w:trPr>
        <w:tc>
          <w:tcPr>
            <w:tcW w:w="11136"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8"/>
                <w:szCs w:val="38"/>
                <w:u w:val="none"/>
              </w:rPr>
            </w:pPr>
            <w:r>
              <w:rPr>
                <w:rFonts w:hint="eastAsia" w:ascii="宋体" w:hAnsi="宋体" w:eastAsia="宋体" w:cs="宋体"/>
                <w:b/>
                <w:bCs/>
                <w:i w:val="0"/>
                <w:iCs w:val="0"/>
                <w:color w:val="000000"/>
                <w:kern w:val="0"/>
                <w:sz w:val="38"/>
                <w:szCs w:val="38"/>
                <w:u w:val="none"/>
                <w:lang w:val="en-US" w:eastAsia="zh-CN" w:bidi="ar"/>
              </w:rPr>
              <w:t>表4.财政拨款收支预算表</w:t>
            </w:r>
          </w:p>
        </w:tc>
      </w:tr>
      <w:tr>
        <w:tblPrEx>
          <w:tblCellMar>
            <w:top w:w="0" w:type="dxa"/>
            <w:left w:w="108" w:type="dxa"/>
            <w:bottom w:w="0" w:type="dxa"/>
            <w:right w:w="108" w:type="dxa"/>
          </w:tblCellMar>
        </w:tblPrEx>
        <w:trPr>
          <w:trHeight w:val="313" w:hRule="atLeast"/>
        </w:trPr>
        <w:tc>
          <w:tcPr>
            <w:tcW w:w="6600" w:type="dxa"/>
            <w:gridSpan w:val="3"/>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部门（单位）：曲阜市图书馆</w:t>
            </w:r>
          </w:p>
        </w:tc>
        <w:tc>
          <w:tcPr>
            <w:tcW w:w="4536" w:type="dxa"/>
            <w:gridSpan w:val="4"/>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363" w:hRule="atLeast"/>
        </w:trPr>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79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CellMar>
            <w:top w:w="0" w:type="dxa"/>
            <w:left w:w="108" w:type="dxa"/>
            <w:bottom w:w="0" w:type="dxa"/>
            <w:right w:w="108" w:type="dxa"/>
          </w:tblCellMar>
        </w:tblPrEx>
        <w:trPr>
          <w:trHeight w:val="363" w:hRule="atLeast"/>
        </w:trPr>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r>
      <w:tr>
        <w:trPr>
          <w:trHeight w:val="637" w:hRule="atLeast"/>
        </w:trPr>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191.47 </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191.47 </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191.47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九、社会保险基金支出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十、卫生健康支出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十一、节能环保支出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十二、城乡社区支出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十三、农林水支出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十四、交通运输支出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十五、资源勘探工业信息等支出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十六、商业服务业等支出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十七、金融支出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十八、援助其他地区支出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十九、自然资源海洋气象等支出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二十、住房保障支出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二十一、粮油物资储备支出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二十二、国有资本经营预算支出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22"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二十三、灾害防治及应急管理支出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二十四、预备费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二十五、其他支出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二十六、转移性支出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二十七、债务还本支出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二十八、债务付息支出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2205"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二十九、债务发行费用支出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13"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收入总计：</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191.47 </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支出总计：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191.47 </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191.47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bl>
    <w:p>
      <w:pPr>
        <w:rPr>
          <w:rFonts w:hint="eastAsia" w:eastAsia="宋体"/>
          <w:lang w:eastAsia="zh-CN"/>
        </w:rPr>
        <w:sectPr>
          <w:pgSz w:w="11906" w:h="16838"/>
          <w:pgMar w:top="1440" w:right="1800" w:bottom="1440" w:left="1800" w:header="851" w:footer="992" w:gutter="0"/>
          <w:cols w:space="425" w:num="1"/>
          <w:docGrid w:type="lines" w:linePitch="312" w:charSpace="0"/>
        </w:sectPr>
      </w:pPr>
    </w:p>
    <w:tbl>
      <w:tblPr>
        <w:tblStyle w:val="3"/>
        <w:tblW w:w="14754" w:type="dxa"/>
        <w:tblInd w:w="93" w:type="dxa"/>
        <w:shd w:val="clear" w:color="auto" w:fill="auto"/>
        <w:tblLayout w:type="autofit"/>
        <w:tblCellMar>
          <w:top w:w="0" w:type="dxa"/>
          <w:left w:w="108" w:type="dxa"/>
          <w:bottom w:w="0" w:type="dxa"/>
          <w:right w:w="108" w:type="dxa"/>
        </w:tblCellMar>
      </w:tblPr>
      <w:tblGrid>
        <w:gridCol w:w="712"/>
        <w:gridCol w:w="712"/>
        <w:gridCol w:w="712"/>
        <w:gridCol w:w="1606"/>
        <w:gridCol w:w="2616"/>
        <w:gridCol w:w="1516"/>
        <w:gridCol w:w="1710"/>
        <w:gridCol w:w="1710"/>
        <w:gridCol w:w="1710"/>
        <w:gridCol w:w="1801"/>
      </w:tblGrid>
      <w:tr>
        <w:tblPrEx>
          <w:shd w:val="clear" w:color="auto" w:fill="auto"/>
          <w:tblCellMar>
            <w:top w:w="0" w:type="dxa"/>
            <w:left w:w="108" w:type="dxa"/>
            <w:bottom w:w="0" w:type="dxa"/>
            <w:right w:w="108" w:type="dxa"/>
          </w:tblCellMar>
        </w:tblPrEx>
        <w:trPr>
          <w:trHeight w:val="312" w:hRule="atLeast"/>
        </w:trPr>
        <w:tc>
          <w:tcPr>
            <w:tcW w:w="712"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712"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712"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60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256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51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71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71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3511"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部门公开表5</w:t>
            </w:r>
          </w:p>
        </w:tc>
      </w:tr>
      <w:tr>
        <w:tblPrEx>
          <w:tblCellMar>
            <w:top w:w="0" w:type="dxa"/>
            <w:left w:w="108" w:type="dxa"/>
            <w:bottom w:w="0" w:type="dxa"/>
            <w:right w:w="108" w:type="dxa"/>
          </w:tblCellMar>
        </w:tblPrEx>
        <w:trPr>
          <w:trHeight w:val="312" w:hRule="atLeast"/>
        </w:trPr>
        <w:tc>
          <w:tcPr>
            <w:tcW w:w="0" w:type="auto"/>
            <w:gridSpan w:val="10"/>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4"/>
                <w:szCs w:val="34"/>
                <w:u w:val="none"/>
              </w:rPr>
            </w:pPr>
            <w:r>
              <w:rPr>
                <w:rFonts w:hint="eastAsia" w:ascii="宋体" w:hAnsi="宋体" w:eastAsia="宋体" w:cs="宋体"/>
                <w:i w:val="0"/>
                <w:iCs w:val="0"/>
                <w:color w:val="000000"/>
                <w:kern w:val="0"/>
                <w:sz w:val="34"/>
                <w:szCs w:val="34"/>
                <w:u w:val="none"/>
                <w:lang w:val="en-US" w:eastAsia="zh-CN" w:bidi="ar"/>
              </w:rPr>
              <w:t>表5.一般公共预算支出预算表（不含上年结转）</w:t>
            </w:r>
          </w:p>
        </w:tc>
      </w:tr>
      <w:tr>
        <w:tblPrEx>
          <w:tblCellMar>
            <w:top w:w="0" w:type="dxa"/>
            <w:left w:w="108" w:type="dxa"/>
            <w:bottom w:w="0" w:type="dxa"/>
            <w:right w:w="108" w:type="dxa"/>
          </w:tblCellMar>
        </w:tblPrEx>
        <w:trPr>
          <w:trHeight w:val="479" w:hRule="atLeast"/>
        </w:trPr>
        <w:tc>
          <w:tcPr>
            <w:tcW w:w="0" w:type="auto"/>
            <w:gridSpan w:val="10"/>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4"/>
                <w:szCs w:val="34"/>
                <w:u w:val="none"/>
              </w:rPr>
            </w:pPr>
          </w:p>
        </w:tc>
      </w:tr>
      <w:tr>
        <w:tblPrEx>
          <w:tblCellMar>
            <w:top w:w="0" w:type="dxa"/>
            <w:left w:w="108" w:type="dxa"/>
            <w:bottom w:w="0" w:type="dxa"/>
            <w:right w:w="108" w:type="dxa"/>
          </w:tblCellMar>
        </w:tblPrEx>
        <w:trPr>
          <w:trHeight w:val="329" w:hRule="atLeast"/>
        </w:trPr>
        <w:tc>
          <w:tcPr>
            <w:tcW w:w="0" w:type="auto"/>
            <w:gridSpan w:val="5"/>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w:t>
            </w:r>
          </w:p>
        </w:tc>
        <w:tc>
          <w:tcPr>
            <w:tcW w:w="0" w:type="auto"/>
            <w:tcBorders>
              <w:top w:val="nil"/>
              <w:left w:val="nil"/>
              <w:bottom w:val="single" w:color="000000" w:sz="4" w:space="0"/>
              <w:right w:val="nil"/>
            </w:tcBorders>
            <w:shd w:val="clear" w:color="auto" w:fill="auto"/>
            <w:noWrap/>
            <w:vAlign w:val="center"/>
          </w:tcPr>
          <w:p>
            <w:pPr>
              <w:jc w:val="lef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jc w:val="lef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jc w:val="lef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jc w:val="lef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96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单位和科目名称</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tblPrEx>
          <w:tblCellMar>
            <w:top w:w="0" w:type="dxa"/>
            <w:left w:w="108" w:type="dxa"/>
            <w:bottom w:w="0" w:type="dxa"/>
            <w:right w:w="108" w:type="dxa"/>
          </w:tblCellMar>
        </w:tblPrEx>
        <w:trPr>
          <w:trHeight w:val="4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人员支出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日常公用支出</w:t>
            </w: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191.47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166.52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158.87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7.65 </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23.00 </w:t>
            </w:r>
          </w:p>
        </w:tc>
      </w:tr>
      <w:tr>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曲阜市图书馆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191.47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166.52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158.87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7.65 </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23.00 </w:t>
            </w:r>
          </w:p>
        </w:tc>
      </w:tr>
      <w:tr>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文化旅游体育与传媒支出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191.47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166.52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158.87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7.65 </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23.00 </w:t>
            </w:r>
          </w:p>
        </w:tc>
      </w:tr>
      <w:tr>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文化和旅游</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191.47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166.52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158.87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7.65 </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23.00 </w:t>
            </w:r>
          </w:p>
        </w:tc>
      </w:tr>
      <w:tr>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图书馆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191.47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166.52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158.87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7.65 </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23.00 </w:t>
            </w:r>
          </w:p>
        </w:tc>
      </w:tr>
      <w:tr>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FF"/>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bl>
    <w:p>
      <w:pPr>
        <w:rPr>
          <w:rFonts w:hint="eastAsia" w:eastAsia="宋体"/>
          <w:lang w:eastAsia="zh-CN"/>
        </w:rPr>
        <w:sectPr>
          <w:pgSz w:w="16838" w:h="11906" w:orient="landscape"/>
          <w:pgMar w:top="1800" w:right="1440" w:bottom="1800" w:left="1440" w:header="851" w:footer="992" w:gutter="0"/>
          <w:cols w:space="425" w:num="1"/>
          <w:docGrid w:type="lines" w:linePitch="312" w:charSpace="0"/>
        </w:sectPr>
      </w:pPr>
    </w:p>
    <w:tbl>
      <w:tblPr>
        <w:tblStyle w:val="3"/>
        <w:tblW w:w="15195" w:type="dxa"/>
        <w:tblInd w:w="93" w:type="dxa"/>
        <w:shd w:val="clear" w:color="auto" w:fill="auto"/>
        <w:tblLayout w:type="autofit"/>
        <w:tblCellMar>
          <w:top w:w="0" w:type="dxa"/>
          <w:left w:w="108" w:type="dxa"/>
          <w:bottom w:w="0" w:type="dxa"/>
          <w:right w:w="108" w:type="dxa"/>
        </w:tblCellMar>
      </w:tblPr>
      <w:tblGrid>
        <w:gridCol w:w="825"/>
        <w:gridCol w:w="825"/>
        <w:gridCol w:w="825"/>
        <w:gridCol w:w="1860"/>
        <w:gridCol w:w="1616"/>
        <w:gridCol w:w="1365"/>
        <w:gridCol w:w="1980"/>
        <w:gridCol w:w="1980"/>
        <w:gridCol w:w="1980"/>
        <w:gridCol w:w="1950"/>
      </w:tblGrid>
      <w:tr>
        <w:tblPrEx>
          <w:shd w:val="clear" w:color="auto" w:fill="auto"/>
          <w:tblCellMar>
            <w:top w:w="0" w:type="dxa"/>
            <w:left w:w="108" w:type="dxa"/>
            <w:bottom w:w="0" w:type="dxa"/>
            <w:right w:w="108" w:type="dxa"/>
          </w:tblCellMar>
        </w:tblPrEx>
        <w:trPr>
          <w:trHeight w:val="270" w:hRule="atLeast"/>
        </w:trPr>
        <w:tc>
          <w:tcPr>
            <w:tcW w:w="82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2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2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86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60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36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98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98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98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95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部门公开表6</w:t>
            </w:r>
          </w:p>
        </w:tc>
      </w:tr>
      <w:tr>
        <w:tblPrEx>
          <w:tblCellMar>
            <w:top w:w="0" w:type="dxa"/>
            <w:left w:w="108" w:type="dxa"/>
            <w:bottom w:w="0" w:type="dxa"/>
            <w:right w:w="108" w:type="dxa"/>
          </w:tblCellMar>
        </w:tblPrEx>
        <w:trPr>
          <w:trHeight w:val="270" w:hRule="atLeast"/>
        </w:trPr>
        <w:tc>
          <w:tcPr>
            <w:tcW w:w="0" w:type="auto"/>
            <w:gridSpan w:val="10"/>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4"/>
                <w:szCs w:val="34"/>
                <w:u w:val="none"/>
              </w:rPr>
            </w:pPr>
            <w:r>
              <w:rPr>
                <w:rFonts w:hint="eastAsia" w:ascii="宋体" w:hAnsi="宋体" w:eastAsia="宋体" w:cs="宋体"/>
                <w:i w:val="0"/>
                <w:iCs w:val="0"/>
                <w:color w:val="000000"/>
                <w:kern w:val="0"/>
                <w:sz w:val="34"/>
                <w:szCs w:val="34"/>
                <w:u w:val="none"/>
                <w:lang w:val="en-US" w:eastAsia="zh-CN" w:bidi="ar"/>
              </w:rPr>
              <w:t>表6.政府性基金支出预算表</w:t>
            </w:r>
          </w:p>
        </w:tc>
      </w:tr>
      <w:tr>
        <w:tblPrEx>
          <w:tblCellMar>
            <w:top w:w="0" w:type="dxa"/>
            <w:left w:w="108" w:type="dxa"/>
            <w:bottom w:w="0" w:type="dxa"/>
            <w:right w:w="108" w:type="dxa"/>
          </w:tblCellMar>
        </w:tblPrEx>
        <w:trPr>
          <w:trHeight w:val="480" w:hRule="atLeast"/>
        </w:trPr>
        <w:tc>
          <w:tcPr>
            <w:tcW w:w="0" w:type="auto"/>
            <w:gridSpan w:val="10"/>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4"/>
                <w:szCs w:val="34"/>
                <w:u w:val="none"/>
              </w:rPr>
            </w:pPr>
          </w:p>
        </w:tc>
      </w:tr>
      <w:tr>
        <w:tblPrEx>
          <w:tblCellMar>
            <w:top w:w="0" w:type="dxa"/>
            <w:left w:w="108" w:type="dxa"/>
            <w:bottom w:w="0" w:type="dxa"/>
            <w:right w:w="108" w:type="dxa"/>
          </w:tblCellMar>
        </w:tblPrEx>
        <w:trPr>
          <w:trHeight w:val="330" w:hRule="atLeast"/>
        </w:trPr>
        <w:tc>
          <w:tcPr>
            <w:tcW w:w="0" w:type="auto"/>
            <w:gridSpan w:val="5"/>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w:t>
            </w:r>
          </w:p>
        </w:tc>
        <w:tc>
          <w:tcPr>
            <w:tcW w:w="0" w:type="auto"/>
            <w:tcBorders>
              <w:top w:val="nil"/>
              <w:left w:val="nil"/>
              <w:bottom w:val="single" w:color="000000" w:sz="4" w:space="0"/>
              <w:right w:val="nil"/>
            </w:tcBorders>
            <w:shd w:val="clear" w:color="auto" w:fill="auto"/>
            <w:noWrap/>
            <w:vAlign w:val="center"/>
          </w:tcPr>
          <w:p>
            <w:pPr>
              <w:jc w:val="lef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jc w:val="lef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jc w:val="left"/>
              <w:rPr>
                <w:rFonts w:hint="eastAsia" w:ascii="宋体" w:hAnsi="宋体" w:eastAsia="宋体" w:cs="宋体"/>
                <w:b/>
                <w:bCs/>
                <w:i w:val="0"/>
                <w:iCs w:val="0"/>
                <w:color w:val="000000"/>
                <w:sz w:val="20"/>
                <w:szCs w:val="20"/>
                <w:u w:val="none"/>
              </w:rPr>
            </w:pPr>
          </w:p>
        </w:tc>
        <w:tc>
          <w:tcPr>
            <w:tcW w:w="0" w:type="auto"/>
            <w:gridSpan w:val="2"/>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96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单位和科目名称</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20"/>
                <w:szCs w:val="20"/>
                <w:u w:val="none"/>
                <w:lang w:val="en-US" w:eastAsia="zh-CN"/>
              </w:rPr>
              <w:t>-</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0000"/>
                <w:sz w:val="20"/>
                <w:szCs w:val="20"/>
                <w:u w:val="none"/>
                <w:lang w:val="en-US" w:eastAsia="zh-CN"/>
              </w:rPr>
              <w:t>-</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20"/>
                <w:szCs w:val="20"/>
                <w:u w:val="none"/>
                <w:lang w:val="en-US" w:eastAsia="zh-CN"/>
              </w:rPr>
              <w:t>-</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20"/>
                <w:szCs w:val="20"/>
                <w:u w:val="none"/>
                <w:lang w:val="en-US" w:eastAsia="zh-CN"/>
              </w:rPr>
              <w:t>-</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FF"/>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bl>
    <w:p>
      <w:pPr>
        <w:rPr>
          <w:rFonts w:hint="eastAsia" w:eastAsia="宋体"/>
          <w:lang w:eastAsia="zh-CN"/>
        </w:rPr>
        <w:sectPr>
          <w:pgSz w:w="16838" w:h="11906" w:orient="landscape"/>
          <w:pgMar w:top="1800" w:right="1440" w:bottom="1800" w:left="1440" w:header="851" w:footer="992" w:gutter="0"/>
          <w:cols w:space="425" w:num="1"/>
          <w:docGrid w:type="lines" w:linePitch="312" w:charSpace="0"/>
        </w:sectPr>
      </w:pPr>
      <w:r>
        <w:rPr>
          <w:rFonts w:hint="eastAsia" w:eastAsia="宋体"/>
          <w:lang w:eastAsia="zh-CN"/>
        </w:rPr>
        <w:t>注：</w:t>
      </w:r>
      <w:r>
        <w:rPr>
          <w:rFonts w:hint="eastAsia"/>
          <w:lang w:eastAsia="zh-CN"/>
        </w:rPr>
        <w:t>曲阜市图书馆</w:t>
      </w:r>
      <w:r>
        <w:rPr>
          <w:rFonts w:hint="eastAsia" w:eastAsia="宋体"/>
          <w:lang w:eastAsia="zh-CN"/>
        </w:rPr>
        <w:t>2019年没有使用政府性基金预算拨款安排的支出。</w:t>
      </w:r>
    </w:p>
    <w:tbl>
      <w:tblPr>
        <w:tblStyle w:val="3"/>
        <w:tblW w:w="14815" w:type="dxa"/>
        <w:tblInd w:w="93" w:type="dxa"/>
        <w:shd w:val="clear" w:color="auto" w:fill="auto"/>
        <w:tblLayout w:type="autofit"/>
        <w:tblCellMar>
          <w:top w:w="0" w:type="dxa"/>
          <w:left w:w="108" w:type="dxa"/>
          <w:bottom w:w="0" w:type="dxa"/>
          <w:right w:w="108" w:type="dxa"/>
        </w:tblCellMar>
      </w:tblPr>
      <w:tblGrid>
        <w:gridCol w:w="741"/>
        <w:gridCol w:w="741"/>
        <w:gridCol w:w="741"/>
        <w:gridCol w:w="1361"/>
        <w:gridCol w:w="1616"/>
        <w:gridCol w:w="1361"/>
        <w:gridCol w:w="3166"/>
        <w:gridCol w:w="1778"/>
        <w:gridCol w:w="1778"/>
        <w:gridCol w:w="1697"/>
      </w:tblGrid>
      <w:tr>
        <w:tblPrEx>
          <w:shd w:val="clear" w:color="auto" w:fill="auto"/>
          <w:tblCellMar>
            <w:top w:w="0" w:type="dxa"/>
            <w:left w:w="108" w:type="dxa"/>
            <w:bottom w:w="0" w:type="dxa"/>
            <w:right w:w="108" w:type="dxa"/>
          </w:tblCellMar>
        </w:tblPrEx>
        <w:trPr>
          <w:trHeight w:val="316" w:hRule="atLeast"/>
        </w:trPr>
        <w:tc>
          <w:tcPr>
            <w:tcW w:w="741"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741"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741"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361"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451"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361"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316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778"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778"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697"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部门公开表7</w:t>
            </w:r>
          </w:p>
        </w:tc>
      </w:tr>
      <w:tr>
        <w:tblPrEx>
          <w:tblCellMar>
            <w:top w:w="0" w:type="dxa"/>
            <w:left w:w="108" w:type="dxa"/>
            <w:bottom w:w="0" w:type="dxa"/>
            <w:right w:w="108" w:type="dxa"/>
          </w:tblCellMar>
        </w:tblPrEx>
        <w:trPr>
          <w:trHeight w:val="312" w:hRule="atLeast"/>
        </w:trPr>
        <w:tc>
          <w:tcPr>
            <w:tcW w:w="0" w:type="auto"/>
            <w:gridSpan w:val="10"/>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4"/>
                <w:szCs w:val="34"/>
                <w:u w:val="none"/>
              </w:rPr>
            </w:pPr>
            <w:r>
              <w:rPr>
                <w:rFonts w:hint="eastAsia" w:ascii="宋体" w:hAnsi="宋体" w:eastAsia="宋体" w:cs="宋体"/>
                <w:i w:val="0"/>
                <w:iCs w:val="0"/>
                <w:color w:val="000000"/>
                <w:kern w:val="0"/>
                <w:sz w:val="34"/>
                <w:szCs w:val="34"/>
                <w:u w:val="none"/>
                <w:lang w:val="en-US" w:eastAsia="zh-CN" w:bidi="ar"/>
              </w:rPr>
              <w:t>表7.国有资本经营预算支出预算表</w:t>
            </w:r>
          </w:p>
        </w:tc>
      </w:tr>
      <w:tr>
        <w:tblPrEx>
          <w:tblCellMar>
            <w:top w:w="0" w:type="dxa"/>
            <w:left w:w="108" w:type="dxa"/>
            <w:bottom w:w="0" w:type="dxa"/>
            <w:right w:w="108" w:type="dxa"/>
          </w:tblCellMar>
        </w:tblPrEx>
        <w:trPr>
          <w:trHeight w:val="486" w:hRule="atLeast"/>
        </w:trPr>
        <w:tc>
          <w:tcPr>
            <w:tcW w:w="0" w:type="auto"/>
            <w:gridSpan w:val="10"/>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4"/>
                <w:szCs w:val="34"/>
                <w:u w:val="none"/>
              </w:rPr>
            </w:pPr>
          </w:p>
        </w:tc>
      </w:tr>
      <w:tr>
        <w:tblPrEx>
          <w:tblCellMar>
            <w:top w:w="0" w:type="dxa"/>
            <w:left w:w="108" w:type="dxa"/>
            <w:bottom w:w="0" w:type="dxa"/>
            <w:right w:w="108" w:type="dxa"/>
          </w:tblCellMar>
        </w:tblPrEx>
        <w:trPr>
          <w:trHeight w:val="334" w:hRule="atLeast"/>
        </w:trPr>
        <w:tc>
          <w:tcPr>
            <w:tcW w:w="0" w:type="auto"/>
            <w:gridSpan w:val="6"/>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w:t>
            </w:r>
          </w:p>
        </w:tc>
        <w:tc>
          <w:tcPr>
            <w:tcW w:w="0" w:type="auto"/>
            <w:tcBorders>
              <w:top w:val="nil"/>
              <w:left w:val="nil"/>
              <w:bottom w:val="single" w:color="000000" w:sz="4" w:space="0"/>
              <w:right w:val="nil"/>
            </w:tcBorders>
            <w:shd w:val="clear" w:color="auto" w:fill="auto"/>
            <w:noWrap/>
            <w:vAlign w:val="center"/>
          </w:tcPr>
          <w:p>
            <w:pPr>
              <w:jc w:val="lef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jc w:val="left"/>
              <w:rPr>
                <w:rFonts w:hint="eastAsia" w:ascii="宋体" w:hAnsi="宋体" w:eastAsia="宋体" w:cs="宋体"/>
                <w:b/>
                <w:bCs/>
                <w:i w:val="0"/>
                <w:iCs w:val="0"/>
                <w:color w:val="000000"/>
                <w:sz w:val="20"/>
                <w:szCs w:val="20"/>
                <w:u w:val="none"/>
              </w:rPr>
            </w:pPr>
          </w:p>
        </w:tc>
        <w:tc>
          <w:tcPr>
            <w:tcW w:w="0" w:type="auto"/>
            <w:gridSpan w:val="2"/>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98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单位和科目名称</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7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CellMar>
            <w:top w:w="0" w:type="dxa"/>
            <w:left w:w="108" w:type="dxa"/>
            <w:bottom w:w="0" w:type="dxa"/>
            <w:right w:w="108" w:type="dxa"/>
          </w:tblCellMar>
        </w:tblPrEx>
        <w:trPr>
          <w:trHeight w:val="9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20"/>
                <w:szCs w:val="20"/>
                <w:u w:val="none"/>
                <w:lang w:val="en-US" w:eastAsia="zh-CN"/>
              </w:rPr>
              <w:t>-</w:t>
            </w: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0000"/>
                <w:sz w:val="20"/>
                <w:szCs w:val="20"/>
                <w:u w:val="none"/>
                <w:lang w:val="en-US" w:eastAsia="zh-CN"/>
              </w:rPr>
              <w:t>-</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20"/>
                <w:szCs w:val="20"/>
                <w:u w:val="none"/>
                <w:lang w:val="en-US" w:eastAsia="zh-CN"/>
              </w:rPr>
              <w:t>-</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20"/>
                <w:szCs w:val="20"/>
                <w:u w:val="none"/>
                <w:lang w:val="en-US" w:eastAsia="zh-CN"/>
              </w:rPr>
              <w:t>-</w:t>
            </w:r>
          </w:p>
        </w:tc>
        <w:tc>
          <w:tcPr>
            <w:tcW w:w="1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FF"/>
                <w:sz w:val="18"/>
                <w:szCs w:val="18"/>
                <w:u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bl>
    <w:p>
      <w:pPr>
        <w:rPr>
          <w:rFonts w:hint="eastAsia" w:eastAsia="宋体"/>
          <w:lang w:eastAsia="zh-CN"/>
        </w:rPr>
        <w:sectPr>
          <w:pgSz w:w="16838" w:h="11906" w:orient="landscape"/>
          <w:pgMar w:top="1800" w:right="1440" w:bottom="1800" w:left="1440" w:header="851" w:footer="992" w:gutter="0"/>
          <w:cols w:space="425" w:num="1"/>
          <w:docGrid w:type="lines" w:linePitch="312" w:charSpace="0"/>
        </w:sectPr>
      </w:pPr>
      <w:r>
        <w:rPr>
          <w:rFonts w:hint="eastAsia" w:eastAsia="宋体"/>
          <w:lang w:eastAsia="zh-CN"/>
        </w:rPr>
        <w:t>注：</w:t>
      </w:r>
      <w:r>
        <w:rPr>
          <w:rFonts w:hint="eastAsia"/>
          <w:lang w:eastAsia="zh-CN"/>
        </w:rPr>
        <w:t>曲阜市图书馆</w:t>
      </w:r>
      <w:r>
        <w:rPr>
          <w:rFonts w:hint="eastAsia" w:eastAsia="宋体"/>
          <w:lang w:eastAsia="zh-CN"/>
        </w:rPr>
        <w:t>部门2019年没有使用国有资本经营预算拨款安排的支出。</w:t>
      </w:r>
    </w:p>
    <w:tbl>
      <w:tblPr>
        <w:tblStyle w:val="3"/>
        <w:tblW w:w="8429" w:type="dxa"/>
        <w:tblInd w:w="93" w:type="dxa"/>
        <w:shd w:val="clear" w:color="auto" w:fill="auto"/>
        <w:tblLayout w:type="fixed"/>
        <w:tblCellMar>
          <w:top w:w="0" w:type="dxa"/>
          <w:left w:w="108" w:type="dxa"/>
          <w:bottom w:w="0" w:type="dxa"/>
          <w:right w:w="108" w:type="dxa"/>
        </w:tblCellMar>
      </w:tblPr>
      <w:tblGrid>
        <w:gridCol w:w="1038"/>
        <w:gridCol w:w="3288"/>
        <w:gridCol w:w="1716"/>
        <w:gridCol w:w="2387"/>
      </w:tblGrid>
      <w:tr>
        <w:tblPrEx>
          <w:shd w:val="clear" w:color="auto" w:fill="auto"/>
          <w:tblCellMar>
            <w:top w:w="0" w:type="dxa"/>
            <w:left w:w="108" w:type="dxa"/>
            <w:bottom w:w="0" w:type="dxa"/>
            <w:right w:w="108" w:type="dxa"/>
          </w:tblCellMar>
        </w:tblPrEx>
        <w:trPr>
          <w:trHeight w:val="90" w:hRule="atLeast"/>
        </w:trPr>
        <w:tc>
          <w:tcPr>
            <w:tcW w:w="1043"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330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72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235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部门公开表8</w:t>
            </w:r>
          </w:p>
        </w:tc>
      </w:tr>
      <w:tr>
        <w:tblPrEx>
          <w:tblCellMar>
            <w:top w:w="0" w:type="dxa"/>
            <w:left w:w="108" w:type="dxa"/>
            <w:bottom w:w="0" w:type="dxa"/>
            <w:right w:w="108" w:type="dxa"/>
          </w:tblCellMar>
        </w:tblPrEx>
        <w:trPr>
          <w:trHeight w:val="90" w:hRule="atLeast"/>
        </w:trPr>
        <w:tc>
          <w:tcPr>
            <w:tcW w:w="8429"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表8.财政拨款安排的基本支出预算表（部门预算支出经济分类科目） </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（不含上年结转）</w:t>
            </w:r>
          </w:p>
        </w:tc>
      </w:tr>
      <w:tr>
        <w:tblPrEx>
          <w:tblCellMar>
            <w:top w:w="0" w:type="dxa"/>
            <w:left w:w="108" w:type="dxa"/>
            <w:bottom w:w="0" w:type="dxa"/>
            <w:right w:w="108" w:type="dxa"/>
          </w:tblCellMar>
        </w:tblPrEx>
        <w:trPr>
          <w:trHeight w:val="90" w:hRule="atLeast"/>
        </w:trPr>
        <w:tc>
          <w:tcPr>
            <w:tcW w:w="6030" w:type="dxa"/>
            <w:gridSpan w:val="3"/>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w:t>
            </w:r>
          </w:p>
        </w:tc>
        <w:tc>
          <w:tcPr>
            <w:tcW w:w="2399" w:type="dxa"/>
            <w:tcBorders>
              <w:top w:val="nil"/>
              <w:left w:val="nil"/>
              <w:bottom w:val="single" w:color="000000" w:sz="4" w:space="0"/>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90" w:hRule="atLeast"/>
        </w:trPr>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3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经济分类科目名称</w:t>
            </w:r>
          </w:p>
        </w:tc>
        <w:tc>
          <w:tcPr>
            <w:tcW w:w="40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r>
      <w:tr>
        <w:tblPrEx>
          <w:tblCellMar>
            <w:top w:w="0" w:type="dxa"/>
            <w:left w:w="108" w:type="dxa"/>
            <w:bottom w:w="0" w:type="dxa"/>
            <w:right w:w="108" w:type="dxa"/>
          </w:tblCellMar>
        </w:tblPrEx>
        <w:trPr>
          <w:trHeight w:val="90" w:hRule="atLeast"/>
        </w:trPr>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3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其中：一般公共预算安排</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168.47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168.47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160.11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160.11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基本工资</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57.22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57.22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津贴补贴</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54.32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54.32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奖金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4.77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4.77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绩效工资</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3.60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3.60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机关事业单位基本养老保险缴费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19.76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19.76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职业年金缴费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7.91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7.91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职工基本医疗保险缴费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4.00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4.00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其他社会保障缴费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0.50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0.50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住房公积金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8.03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8.03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7.65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7.65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办公费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1.20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1.20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印刷费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0.40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0.40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水费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0.30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0.30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电费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1.00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邮电费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0.14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0.14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差旅费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1.00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维修（护）费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0.25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0.25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会议费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0.20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0.20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公务接待费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1.10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1.10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劳务费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0.20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0.20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工会经费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0.80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0.80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其他交通费用</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0.96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0.96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其他商品和服务支出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0.10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0.10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对个人和家庭补助</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0.71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0.71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退职（役）费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0.71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0.71 </w:t>
            </w:r>
          </w:p>
        </w:tc>
      </w:tr>
      <w:tr>
        <w:tblPrEx>
          <w:tblCellMar>
            <w:top w:w="0" w:type="dxa"/>
            <w:left w:w="108" w:type="dxa"/>
            <w:bottom w:w="0" w:type="dxa"/>
            <w:right w:w="108" w:type="dxa"/>
          </w:tblCellMar>
        </w:tblPrEx>
        <w:trPr>
          <w:trHeight w:val="9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8000"/>
                <w:sz w:val="20"/>
                <w:szCs w:val="20"/>
                <w:u w:val="none"/>
              </w:rPr>
            </w:pPr>
          </w:p>
        </w:tc>
      </w:tr>
    </w:tbl>
    <w:p>
      <w:pPr>
        <w:rPr>
          <w:rFonts w:hint="eastAsia" w:eastAsia="宋体"/>
          <w:lang w:eastAsia="zh-CN"/>
        </w:rPr>
        <w:sectPr>
          <w:pgSz w:w="11906" w:h="16838"/>
          <w:pgMar w:top="1440" w:right="1800" w:bottom="1440" w:left="1800" w:header="851" w:footer="992" w:gutter="0"/>
          <w:cols w:space="425" w:num="1"/>
          <w:docGrid w:type="lines" w:linePitch="312" w:charSpace="0"/>
        </w:sectPr>
      </w:pPr>
    </w:p>
    <w:tbl>
      <w:tblPr>
        <w:tblStyle w:val="3"/>
        <w:tblW w:w="13160" w:type="dxa"/>
        <w:tblInd w:w="93" w:type="dxa"/>
        <w:shd w:val="clear" w:color="auto" w:fill="auto"/>
        <w:tblLayout w:type="autofit"/>
        <w:tblCellMar>
          <w:top w:w="0" w:type="dxa"/>
          <w:left w:w="108" w:type="dxa"/>
          <w:bottom w:w="0" w:type="dxa"/>
          <w:right w:w="108" w:type="dxa"/>
        </w:tblCellMar>
      </w:tblPr>
      <w:tblGrid>
        <w:gridCol w:w="2068"/>
        <w:gridCol w:w="4512"/>
        <w:gridCol w:w="1661"/>
        <w:gridCol w:w="4919"/>
      </w:tblGrid>
      <w:tr>
        <w:tblPrEx>
          <w:shd w:val="clear" w:color="auto" w:fill="auto"/>
          <w:tblCellMar>
            <w:top w:w="0" w:type="dxa"/>
            <w:left w:w="108" w:type="dxa"/>
            <w:bottom w:w="0" w:type="dxa"/>
            <w:right w:w="108" w:type="dxa"/>
          </w:tblCellMar>
        </w:tblPrEx>
        <w:trPr>
          <w:trHeight w:val="1241" w:hRule="atLeast"/>
        </w:trPr>
        <w:tc>
          <w:tcPr>
            <w:tcW w:w="1316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表9.财政拨款安排的基本支出预算表（政府预算支出经济分类科目） </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（不含上年结转）</w:t>
            </w:r>
          </w:p>
        </w:tc>
      </w:tr>
      <w:tr>
        <w:tblPrEx>
          <w:tblCellMar>
            <w:top w:w="0" w:type="dxa"/>
            <w:left w:w="108" w:type="dxa"/>
            <w:bottom w:w="0" w:type="dxa"/>
            <w:right w:w="108" w:type="dxa"/>
          </w:tblCellMar>
        </w:tblPrEx>
        <w:trPr>
          <w:trHeight w:val="418" w:hRule="atLeast"/>
        </w:trPr>
        <w:tc>
          <w:tcPr>
            <w:tcW w:w="0" w:type="auto"/>
            <w:gridSpan w:val="3"/>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w:t>
            </w:r>
          </w:p>
        </w:tc>
        <w:tc>
          <w:tcPr>
            <w:tcW w:w="0" w:type="auto"/>
            <w:tcBorders>
              <w:top w:val="nil"/>
              <w:left w:val="nil"/>
              <w:bottom w:val="single" w:color="000000" w:sz="4" w:space="0"/>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42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经济分类科目名称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r>
      <w:tr>
        <w:tblPrEx>
          <w:tblCellMar>
            <w:top w:w="0" w:type="dxa"/>
            <w:left w:w="108" w:type="dxa"/>
            <w:bottom w:w="0" w:type="dxa"/>
            <w:right w:w="108" w:type="dxa"/>
          </w:tblCellMar>
        </w:tblPrEx>
        <w:trPr>
          <w:trHeight w:val="4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其中：一般公共预算安排</w:t>
            </w:r>
          </w:p>
        </w:tc>
      </w:tr>
      <w:tr>
        <w:tblPrEx>
          <w:tblCellMar>
            <w:top w:w="0" w:type="dxa"/>
            <w:left w:w="108" w:type="dxa"/>
            <w:bottom w:w="0" w:type="dxa"/>
            <w:right w:w="108" w:type="dxa"/>
          </w:tblCellMar>
        </w:tblPrEx>
        <w:trPr>
          <w:trHeight w:val="4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168.47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168.47 </w:t>
            </w:r>
          </w:p>
        </w:tc>
      </w:tr>
      <w:tr>
        <w:tblPrEx>
          <w:tblCellMar>
            <w:top w:w="0" w:type="dxa"/>
            <w:left w:w="108" w:type="dxa"/>
            <w:bottom w:w="0" w:type="dxa"/>
            <w:right w:w="108" w:type="dxa"/>
          </w:tblCellMar>
        </w:tblPrEx>
        <w:trPr>
          <w:trHeight w:val="4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对事业单位经常性补助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167.76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167.76 </w:t>
            </w:r>
          </w:p>
        </w:tc>
      </w:tr>
      <w:tr>
        <w:tblPrEx>
          <w:tblCellMar>
            <w:top w:w="0" w:type="dxa"/>
            <w:left w:w="108" w:type="dxa"/>
            <w:bottom w:w="0" w:type="dxa"/>
            <w:right w:w="108" w:type="dxa"/>
          </w:tblCellMar>
        </w:tblPrEx>
        <w:trPr>
          <w:trHeight w:val="4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160.11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160.11 </w:t>
            </w:r>
          </w:p>
        </w:tc>
      </w:tr>
      <w:tr>
        <w:tblPrEx>
          <w:tblCellMar>
            <w:top w:w="0" w:type="dxa"/>
            <w:left w:w="108" w:type="dxa"/>
            <w:bottom w:w="0" w:type="dxa"/>
            <w:right w:w="108" w:type="dxa"/>
          </w:tblCellMar>
        </w:tblPrEx>
        <w:trPr>
          <w:trHeight w:val="4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7.65 </w:t>
            </w:r>
          </w:p>
        </w:tc>
      </w:tr>
      <w:tr>
        <w:tblPrEx>
          <w:tblCellMar>
            <w:top w:w="0" w:type="dxa"/>
            <w:left w:w="108" w:type="dxa"/>
            <w:bottom w:w="0" w:type="dxa"/>
            <w:right w:w="108" w:type="dxa"/>
          </w:tblCellMar>
        </w:tblPrEx>
        <w:trPr>
          <w:trHeight w:val="4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0.71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0.71 </w:t>
            </w:r>
          </w:p>
        </w:tc>
      </w:tr>
      <w:tr>
        <w:tblPrEx>
          <w:tblCellMar>
            <w:top w:w="0" w:type="dxa"/>
            <w:left w:w="108" w:type="dxa"/>
            <w:bottom w:w="0" w:type="dxa"/>
            <w:right w:w="108" w:type="dxa"/>
          </w:tblCellMar>
        </w:tblPrEx>
        <w:trPr>
          <w:trHeight w:val="4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离退休费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0.71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0.71 </w:t>
            </w:r>
          </w:p>
        </w:tc>
      </w:tr>
      <w:tr>
        <w:tblPrEx>
          <w:tblCellMar>
            <w:top w:w="0" w:type="dxa"/>
            <w:left w:w="108" w:type="dxa"/>
            <w:bottom w:w="0" w:type="dxa"/>
            <w:right w:w="108" w:type="dxa"/>
          </w:tblCellMar>
        </w:tblPrEx>
        <w:trPr>
          <w:trHeight w:val="4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8000"/>
                <w:sz w:val="20"/>
                <w:szCs w:val="20"/>
                <w:u w:val="none"/>
              </w:rPr>
            </w:pPr>
          </w:p>
        </w:tc>
      </w:tr>
      <w:tr>
        <w:tblPrEx>
          <w:tblCellMar>
            <w:top w:w="0" w:type="dxa"/>
            <w:left w:w="108" w:type="dxa"/>
            <w:bottom w:w="0" w:type="dxa"/>
            <w:right w:w="108" w:type="dxa"/>
          </w:tblCellMar>
        </w:tblPrEx>
        <w:trPr>
          <w:trHeight w:val="4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8000"/>
                <w:sz w:val="20"/>
                <w:szCs w:val="20"/>
                <w:u w:val="none"/>
              </w:rPr>
            </w:pPr>
          </w:p>
        </w:tc>
      </w:tr>
      <w:tr>
        <w:tblPrEx>
          <w:tblCellMar>
            <w:top w:w="0" w:type="dxa"/>
            <w:left w:w="108" w:type="dxa"/>
            <w:bottom w:w="0" w:type="dxa"/>
            <w:right w:w="108" w:type="dxa"/>
          </w:tblCellMar>
        </w:tblPrEx>
        <w:trPr>
          <w:trHeight w:val="4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8000"/>
                <w:sz w:val="20"/>
                <w:szCs w:val="20"/>
                <w:u w:val="none"/>
              </w:rPr>
            </w:pPr>
          </w:p>
        </w:tc>
      </w:tr>
      <w:tr>
        <w:tblPrEx>
          <w:tblCellMar>
            <w:top w:w="0" w:type="dxa"/>
            <w:left w:w="108" w:type="dxa"/>
            <w:bottom w:w="0" w:type="dxa"/>
            <w:right w:w="108" w:type="dxa"/>
          </w:tblCellMar>
        </w:tblPrEx>
        <w:trPr>
          <w:trHeight w:val="4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8000"/>
                <w:sz w:val="20"/>
                <w:szCs w:val="20"/>
                <w:u w:val="none"/>
              </w:rPr>
            </w:pPr>
          </w:p>
        </w:tc>
      </w:tr>
      <w:tr>
        <w:tblPrEx>
          <w:tblCellMar>
            <w:top w:w="0" w:type="dxa"/>
            <w:left w:w="108" w:type="dxa"/>
            <w:bottom w:w="0" w:type="dxa"/>
            <w:right w:w="108" w:type="dxa"/>
          </w:tblCellMar>
        </w:tblPrEx>
        <w:trPr>
          <w:trHeight w:val="4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8000"/>
                <w:sz w:val="20"/>
                <w:szCs w:val="20"/>
                <w:u w:val="none"/>
              </w:rPr>
            </w:pPr>
          </w:p>
        </w:tc>
      </w:tr>
    </w:tbl>
    <w:p>
      <w:pPr>
        <w:rPr>
          <w:rFonts w:hint="eastAsia" w:eastAsia="宋体"/>
          <w:lang w:eastAsia="zh-CN"/>
        </w:rPr>
        <w:sectPr>
          <w:pgSz w:w="16838" w:h="11906" w:orient="landscape"/>
          <w:pgMar w:top="1800" w:right="1440" w:bottom="1800" w:left="1440" w:header="851" w:footer="992" w:gutter="0"/>
          <w:cols w:space="425" w:num="1"/>
          <w:docGrid w:type="lines" w:linePitch="312" w:charSpace="0"/>
        </w:sectPr>
      </w:pPr>
    </w:p>
    <w:tbl>
      <w:tblPr>
        <w:tblStyle w:val="3"/>
        <w:tblW w:w="14691" w:type="dxa"/>
        <w:tblInd w:w="93" w:type="dxa"/>
        <w:shd w:val="clear" w:color="auto" w:fill="auto"/>
        <w:tblLayout w:type="autofit"/>
        <w:tblCellMar>
          <w:top w:w="0" w:type="dxa"/>
          <w:left w:w="108" w:type="dxa"/>
          <w:bottom w:w="0" w:type="dxa"/>
          <w:right w:w="108" w:type="dxa"/>
        </w:tblCellMar>
      </w:tblPr>
      <w:tblGrid>
        <w:gridCol w:w="516"/>
        <w:gridCol w:w="416"/>
        <w:gridCol w:w="416"/>
        <w:gridCol w:w="853"/>
        <w:gridCol w:w="2616"/>
        <w:gridCol w:w="916"/>
        <w:gridCol w:w="1416"/>
        <w:gridCol w:w="947"/>
        <w:gridCol w:w="947"/>
        <w:gridCol w:w="793"/>
        <w:gridCol w:w="829"/>
        <w:gridCol w:w="829"/>
        <w:gridCol w:w="829"/>
        <w:gridCol w:w="829"/>
        <w:gridCol w:w="627"/>
        <w:gridCol w:w="639"/>
        <w:gridCol w:w="700"/>
      </w:tblGrid>
      <w:tr>
        <w:tblPrEx>
          <w:shd w:val="clear" w:color="auto" w:fill="auto"/>
          <w:tblCellMar>
            <w:top w:w="0" w:type="dxa"/>
            <w:left w:w="108" w:type="dxa"/>
            <w:bottom w:w="0" w:type="dxa"/>
            <w:right w:w="108" w:type="dxa"/>
          </w:tblCellMar>
        </w:tblPrEx>
        <w:trPr>
          <w:trHeight w:val="315" w:hRule="atLeast"/>
        </w:trPr>
        <w:tc>
          <w:tcPr>
            <w:tcW w:w="47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414"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414"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53"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2414"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4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30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947"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947"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793"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29"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29"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29"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829"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627"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339"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部门预算表10</w:t>
            </w:r>
          </w:p>
        </w:tc>
      </w:tr>
      <w:tr>
        <w:tblPrEx>
          <w:tblCellMar>
            <w:top w:w="0" w:type="dxa"/>
            <w:left w:w="108" w:type="dxa"/>
            <w:bottom w:w="0" w:type="dxa"/>
            <w:right w:w="108" w:type="dxa"/>
          </w:tblCellMar>
        </w:tblPrEx>
        <w:trPr>
          <w:trHeight w:val="312" w:hRule="atLeast"/>
        </w:trPr>
        <w:tc>
          <w:tcPr>
            <w:tcW w:w="0" w:type="auto"/>
            <w:gridSpan w:val="17"/>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4"/>
                <w:szCs w:val="34"/>
                <w:u w:val="none"/>
              </w:rPr>
            </w:pPr>
            <w:r>
              <w:rPr>
                <w:rFonts w:hint="eastAsia" w:ascii="宋体" w:hAnsi="宋体" w:eastAsia="宋体" w:cs="宋体"/>
                <w:i w:val="0"/>
                <w:iCs w:val="0"/>
                <w:color w:val="000000"/>
                <w:kern w:val="0"/>
                <w:sz w:val="34"/>
                <w:szCs w:val="34"/>
                <w:u w:val="none"/>
                <w:lang w:val="en-US" w:eastAsia="zh-CN" w:bidi="ar"/>
              </w:rPr>
              <w:t>表10.政府采购预算表</w:t>
            </w:r>
          </w:p>
        </w:tc>
      </w:tr>
      <w:tr>
        <w:tblPrEx>
          <w:tblCellMar>
            <w:top w:w="0" w:type="dxa"/>
            <w:left w:w="108" w:type="dxa"/>
            <w:bottom w:w="0" w:type="dxa"/>
            <w:right w:w="108" w:type="dxa"/>
          </w:tblCellMar>
        </w:tblPrEx>
        <w:trPr>
          <w:trHeight w:val="486" w:hRule="atLeast"/>
        </w:trPr>
        <w:tc>
          <w:tcPr>
            <w:tcW w:w="0" w:type="auto"/>
            <w:gridSpan w:val="17"/>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4"/>
                <w:szCs w:val="34"/>
                <w:u w:val="none"/>
              </w:rPr>
            </w:pPr>
          </w:p>
        </w:tc>
      </w:tr>
      <w:tr>
        <w:tblPrEx>
          <w:tblCellMar>
            <w:top w:w="0" w:type="dxa"/>
            <w:left w:w="108" w:type="dxa"/>
            <w:bottom w:w="0" w:type="dxa"/>
            <w:right w:w="108" w:type="dxa"/>
          </w:tblCellMar>
        </w:tblPrEx>
        <w:trPr>
          <w:trHeight w:val="334" w:hRule="atLeast"/>
        </w:trPr>
        <w:tc>
          <w:tcPr>
            <w:tcW w:w="0" w:type="auto"/>
            <w:gridSpan w:val="9"/>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w:t>
            </w:r>
          </w:p>
        </w:tc>
        <w:tc>
          <w:tcPr>
            <w:tcW w:w="0" w:type="auto"/>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gridSpan w:val="2"/>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374"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采购品目编码</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采购品目名称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60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资金来源</w:t>
            </w:r>
          </w:p>
        </w:tc>
      </w:tr>
      <w:tr>
        <w:tblPrEx>
          <w:tblCellMar>
            <w:top w:w="0" w:type="dxa"/>
            <w:left w:w="108" w:type="dxa"/>
            <w:bottom w:w="0" w:type="dxa"/>
            <w:right w:w="108" w:type="dxa"/>
          </w:tblCellMar>
        </w:tblPrEx>
        <w:trPr>
          <w:trHeight w:val="37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3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其他自有资金</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w:t>
            </w:r>
          </w:p>
        </w:tc>
      </w:tr>
      <w:tr>
        <w:tblPrEx>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7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11.60 </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11.60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11.60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11.60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FF"/>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曲阜市图书馆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11.60 </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11.60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11.60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11.60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11.60 </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11.60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11.60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11.60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11.60 </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11.60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11.60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11.60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图书馆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11.60 </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11.60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11.60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11.60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A032501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数字照相机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0.6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0.60 </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0.60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0.60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0.60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A070104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平板显示设备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5.00 </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5.00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5.00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5.00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6.00 </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6.00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6.00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18"/>
                <w:szCs w:val="18"/>
                <w:u w:val="none"/>
              </w:rPr>
            </w:pPr>
            <w:r>
              <w:rPr>
                <w:rFonts w:hint="eastAsia" w:ascii="宋体" w:hAnsi="宋体" w:eastAsia="宋体" w:cs="宋体"/>
                <w:i w:val="0"/>
                <w:iCs w:val="0"/>
                <w:color w:val="008000"/>
                <w:kern w:val="0"/>
                <w:sz w:val="18"/>
                <w:szCs w:val="18"/>
                <w:u w:val="none"/>
                <w:lang w:val="en-US" w:eastAsia="zh-CN" w:bidi="ar"/>
              </w:rPr>
              <w:t xml:space="preserve">6.00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FF"/>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bl>
    <w:p>
      <w:pPr>
        <w:rPr>
          <w:rFonts w:hint="eastAsia" w:eastAsia="宋体"/>
          <w:lang w:eastAsia="zh-CN"/>
        </w:rPr>
        <w:sectPr>
          <w:pgSz w:w="16838" w:h="11906" w:orient="landscape"/>
          <w:pgMar w:top="1800" w:right="1440" w:bottom="1800" w:left="1440" w:header="851" w:footer="992" w:gutter="0"/>
          <w:cols w:space="425" w:num="1"/>
          <w:docGrid w:type="lines" w:linePitch="312" w:charSpace="0"/>
        </w:sectPr>
      </w:pPr>
    </w:p>
    <w:tbl>
      <w:tblPr>
        <w:tblStyle w:val="3"/>
        <w:tblW w:w="15165" w:type="dxa"/>
        <w:tblInd w:w="93" w:type="dxa"/>
        <w:shd w:val="clear" w:color="auto" w:fill="auto"/>
        <w:tblLayout w:type="autofit"/>
        <w:tblCellMar>
          <w:top w:w="0" w:type="dxa"/>
          <w:left w:w="108" w:type="dxa"/>
          <w:bottom w:w="0" w:type="dxa"/>
          <w:right w:w="108" w:type="dxa"/>
        </w:tblCellMar>
      </w:tblPr>
      <w:tblGrid>
        <w:gridCol w:w="1350"/>
        <w:gridCol w:w="3000"/>
        <w:gridCol w:w="1785"/>
        <w:gridCol w:w="1380"/>
        <w:gridCol w:w="1650"/>
        <w:gridCol w:w="1845"/>
        <w:gridCol w:w="2016"/>
        <w:gridCol w:w="2205"/>
      </w:tblGrid>
      <w:tr>
        <w:tblPrEx>
          <w:shd w:val="clear" w:color="auto" w:fill="auto"/>
          <w:tblCellMar>
            <w:top w:w="0" w:type="dxa"/>
            <w:left w:w="108" w:type="dxa"/>
            <w:bottom w:w="0" w:type="dxa"/>
            <w:right w:w="108" w:type="dxa"/>
          </w:tblCellMar>
        </w:tblPrEx>
        <w:trPr>
          <w:trHeight w:val="270" w:hRule="atLeast"/>
        </w:trPr>
        <w:tc>
          <w:tcPr>
            <w:tcW w:w="135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300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78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38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65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84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195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2205"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部门预算表11</w:t>
            </w:r>
          </w:p>
        </w:tc>
      </w:tr>
      <w:tr>
        <w:tblPrEx>
          <w:tblCellMar>
            <w:top w:w="0" w:type="dxa"/>
            <w:left w:w="108" w:type="dxa"/>
            <w:bottom w:w="0" w:type="dxa"/>
            <w:right w:w="108" w:type="dxa"/>
          </w:tblCellMar>
        </w:tblPrEx>
        <w:trPr>
          <w:trHeight w:val="510"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8"/>
                <w:szCs w:val="38"/>
                <w:u w:val="none"/>
              </w:rPr>
            </w:pPr>
            <w:r>
              <w:rPr>
                <w:rFonts w:hint="eastAsia" w:ascii="宋体" w:hAnsi="宋体" w:eastAsia="宋体" w:cs="宋体"/>
                <w:b/>
                <w:bCs/>
                <w:i w:val="0"/>
                <w:iCs w:val="0"/>
                <w:color w:val="000000"/>
                <w:kern w:val="0"/>
                <w:sz w:val="38"/>
                <w:szCs w:val="38"/>
                <w:u w:val="none"/>
                <w:lang w:val="en-US" w:eastAsia="zh-CN" w:bidi="ar"/>
              </w:rPr>
              <w:t>表11.一般公共预算财政拨款安排的“三公”经费支出表</w:t>
            </w:r>
          </w:p>
        </w:tc>
      </w:tr>
      <w:tr>
        <w:tblPrEx>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0" w:type="auto"/>
            <w:gridSpan w:val="3"/>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w:t>
            </w:r>
          </w:p>
        </w:tc>
        <w:tc>
          <w:tcPr>
            <w:tcW w:w="0" w:type="auto"/>
            <w:gridSpan w:val="2"/>
            <w:tcBorders>
              <w:top w:val="nil"/>
              <w:left w:val="nil"/>
              <w:bottom w:val="single" w:color="000000" w:sz="4" w:space="0"/>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5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公务用车购置和运行维护费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tblCellMar>
            <w:top w:w="0" w:type="dxa"/>
            <w:left w:w="108" w:type="dxa"/>
            <w:bottom w:w="0" w:type="dxa"/>
            <w:right w:w="108" w:type="dxa"/>
          </w:tblCellMar>
        </w:tblPrEx>
        <w:trPr>
          <w:trHeight w:val="5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1.10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1.10 </w:t>
            </w:r>
          </w:p>
        </w:tc>
      </w:tr>
      <w:tr>
        <w:tblPrEx>
          <w:tblCellMar>
            <w:top w:w="0" w:type="dxa"/>
            <w:left w:w="108" w:type="dxa"/>
            <w:bottom w:w="0" w:type="dxa"/>
            <w:right w:w="108" w:type="dxa"/>
          </w:tblCellMar>
        </w:tblPrEx>
        <w:trPr>
          <w:trHeight w:val="42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曲阜市图书馆</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1.10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1.10 </w:t>
            </w:r>
          </w:p>
        </w:tc>
      </w:tr>
      <w:tr>
        <w:tblPrEx>
          <w:tblCellMar>
            <w:top w:w="0" w:type="dxa"/>
            <w:left w:w="108" w:type="dxa"/>
            <w:bottom w:w="0" w:type="dxa"/>
            <w:right w:w="108" w:type="dxa"/>
          </w:tblCellMar>
        </w:tblPrEx>
        <w:trPr>
          <w:trHeight w:val="42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2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bl>
    <w:p>
      <w:pPr>
        <w:rPr>
          <w:rFonts w:hint="eastAsia" w:eastAsia="宋体"/>
          <w:lang w:eastAsia="zh-CN"/>
        </w:rPr>
        <w:sectPr>
          <w:pgSz w:w="16838" w:h="11906" w:orient="landscape"/>
          <w:pgMar w:top="1800" w:right="1440" w:bottom="1800" w:left="1440" w:header="851" w:footer="992" w:gutter="0"/>
          <w:cols w:space="425" w:num="1"/>
          <w:docGrid w:type="lines" w:linePitch="312" w:charSpace="0"/>
        </w:sectPr>
      </w:pPr>
    </w:p>
    <w:tbl>
      <w:tblPr>
        <w:tblStyle w:val="3"/>
        <w:tblW w:w="14440" w:type="dxa"/>
        <w:tblInd w:w="93" w:type="dxa"/>
        <w:shd w:val="clear" w:color="auto" w:fill="auto"/>
        <w:tblLayout w:type="autofit"/>
        <w:tblCellMar>
          <w:top w:w="0" w:type="dxa"/>
          <w:left w:w="108" w:type="dxa"/>
          <w:bottom w:w="0" w:type="dxa"/>
          <w:right w:w="108" w:type="dxa"/>
        </w:tblCellMar>
      </w:tblPr>
      <w:tblGrid>
        <w:gridCol w:w="1699"/>
        <w:gridCol w:w="2002"/>
        <w:gridCol w:w="1016"/>
        <w:gridCol w:w="1725"/>
        <w:gridCol w:w="895"/>
        <w:gridCol w:w="803"/>
        <w:gridCol w:w="843"/>
        <w:gridCol w:w="843"/>
        <w:gridCol w:w="830"/>
        <w:gridCol w:w="895"/>
        <w:gridCol w:w="895"/>
        <w:gridCol w:w="1000"/>
        <w:gridCol w:w="994"/>
      </w:tblGrid>
      <w:tr>
        <w:tblPrEx>
          <w:shd w:val="clear" w:color="auto" w:fill="auto"/>
          <w:tblCellMar>
            <w:top w:w="0" w:type="dxa"/>
            <w:left w:w="108" w:type="dxa"/>
            <w:bottom w:w="0" w:type="dxa"/>
            <w:right w:w="108" w:type="dxa"/>
          </w:tblCellMar>
        </w:tblPrEx>
        <w:trPr>
          <w:trHeight w:val="632" w:hRule="atLeast"/>
        </w:trPr>
        <w:tc>
          <w:tcPr>
            <w:tcW w:w="14440"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8"/>
                <w:szCs w:val="38"/>
                <w:u w:val="none"/>
              </w:rPr>
            </w:pPr>
            <w:r>
              <w:rPr>
                <w:rFonts w:hint="eastAsia" w:ascii="宋体" w:hAnsi="宋体" w:eastAsia="宋体" w:cs="宋体"/>
                <w:b/>
                <w:bCs/>
                <w:i w:val="0"/>
                <w:iCs w:val="0"/>
                <w:color w:val="000000"/>
                <w:kern w:val="0"/>
                <w:sz w:val="38"/>
                <w:szCs w:val="38"/>
                <w:u w:val="none"/>
                <w:lang w:val="en-US" w:eastAsia="zh-CN" w:bidi="ar"/>
              </w:rPr>
              <w:t>表12.项目支出表</w:t>
            </w:r>
          </w:p>
        </w:tc>
      </w:tr>
      <w:tr>
        <w:tblPrEx>
          <w:tblCellMar>
            <w:top w:w="0" w:type="dxa"/>
            <w:left w:w="108" w:type="dxa"/>
            <w:bottom w:w="0" w:type="dxa"/>
            <w:right w:w="108" w:type="dxa"/>
          </w:tblCellMar>
        </w:tblPrEx>
        <w:trPr>
          <w:trHeight w:val="316"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6" w:hRule="atLeast"/>
        </w:trPr>
        <w:tc>
          <w:tcPr>
            <w:tcW w:w="0" w:type="auto"/>
            <w:gridSpan w:val="4"/>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w:t>
            </w:r>
          </w:p>
        </w:tc>
        <w:tc>
          <w:tcPr>
            <w:tcW w:w="0" w:type="auto"/>
            <w:gridSpan w:val="2"/>
            <w:tcBorders>
              <w:top w:val="nil"/>
              <w:left w:val="nil"/>
              <w:bottom w:val="single" w:color="000000" w:sz="4" w:space="0"/>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0" w:type="auto"/>
            <w:gridSpan w:val="2"/>
            <w:tcBorders>
              <w:top w:val="nil"/>
              <w:left w:val="nil"/>
              <w:bottom w:val="single" w:color="000000" w:sz="4" w:space="0"/>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54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项目类型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本年拨款</w:t>
            </w:r>
          </w:p>
        </w:tc>
        <w:tc>
          <w:tcPr>
            <w:tcW w:w="2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财政拨款结余结转</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财政专户资金</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r>
      <w:tr>
        <w:tblPrEx>
          <w:tblCellMar>
            <w:top w:w="0" w:type="dxa"/>
            <w:left w:w="108" w:type="dxa"/>
            <w:bottom w:w="0" w:type="dxa"/>
            <w:right w:w="108" w:type="dxa"/>
          </w:tblCellMar>
        </w:tblPrEx>
        <w:trPr>
          <w:trHeight w:val="9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42" w:hRule="atLeast"/>
        </w:trPr>
        <w:tc>
          <w:tcPr>
            <w:tcW w:w="16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FF"/>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23.00 </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23.00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FF"/>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FF"/>
                <w:sz w:val="20"/>
                <w:szCs w:val="20"/>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FF"/>
                <w:sz w:val="20"/>
                <w:szCs w:val="20"/>
                <w:u w:val="none"/>
              </w:rPr>
            </w:pPr>
          </w:p>
        </w:tc>
      </w:tr>
      <w:tr>
        <w:tblPrEx>
          <w:tblCellMar>
            <w:top w:w="0" w:type="dxa"/>
            <w:left w:w="108" w:type="dxa"/>
            <w:bottom w:w="0" w:type="dxa"/>
            <w:right w:w="108" w:type="dxa"/>
          </w:tblCellMar>
        </w:tblPrEx>
        <w:trPr>
          <w:trHeight w:val="642" w:hRule="atLeast"/>
        </w:trPr>
        <w:tc>
          <w:tcPr>
            <w:tcW w:w="16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业务类</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2019年免费开放服务经费</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20.00 </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20.00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FF"/>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FF"/>
                <w:sz w:val="20"/>
                <w:szCs w:val="20"/>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FF"/>
                <w:sz w:val="20"/>
                <w:szCs w:val="20"/>
                <w:u w:val="none"/>
              </w:rPr>
            </w:pPr>
          </w:p>
        </w:tc>
      </w:tr>
      <w:tr>
        <w:tblPrEx>
          <w:tblCellMar>
            <w:top w:w="0" w:type="dxa"/>
            <w:left w:w="108" w:type="dxa"/>
            <w:bottom w:w="0" w:type="dxa"/>
            <w:right w:w="108" w:type="dxa"/>
          </w:tblCellMar>
        </w:tblPrEx>
        <w:trPr>
          <w:trHeight w:val="435" w:hRule="atLeast"/>
        </w:trPr>
        <w:tc>
          <w:tcPr>
            <w:tcW w:w="16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业务类</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图书报刊购置经费</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3.00 </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lang w:val="en-US" w:eastAsia="zh-CN" w:bidi="ar"/>
              </w:rPr>
              <w:t xml:space="preserve">3.00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FF"/>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FF"/>
                <w:sz w:val="20"/>
                <w:szCs w:val="20"/>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FF"/>
                <w:sz w:val="20"/>
                <w:szCs w:val="20"/>
                <w:u w:val="none"/>
              </w:rPr>
            </w:pPr>
          </w:p>
        </w:tc>
      </w:tr>
      <w:tr>
        <w:tblPrEx>
          <w:tblCellMar>
            <w:top w:w="0" w:type="dxa"/>
            <w:left w:w="108" w:type="dxa"/>
            <w:bottom w:w="0" w:type="dxa"/>
            <w:right w:w="108" w:type="dxa"/>
          </w:tblCellMar>
        </w:tblPrEx>
        <w:trPr>
          <w:trHeight w:val="435" w:hRule="atLeast"/>
        </w:trPr>
        <w:tc>
          <w:tcPr>
            <w:tcW w:w="16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35" w:hRule="atLeast"/>
        </w:trPr>
        <w:tc>
          <w:tcPr>
            <w:tcW w:w="16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35" w:hRule="atLeast"/>
        </w:trPr>
        <w:tc>
          <w:tcPr>
            <w:tcW w:w="16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46" w:hRule="atLeast"/>
        </w:trPr>
        <w:tc>
          <w:tcPr>
            <w:tcW w:w="16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8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bl>
    <w:p>
      <w:pPr>
        <w:rPr>
          <w:rFonts w:hint="eastAsia" w:eastAsia="宋体"/>
          <w:lang w:eastAsia="zh-CN"/>
        </w:rPr>
        <w:sectPr>
          <w:pgSz w:w="16838" w:h="11906" w:orient="landscape"/>
          <w:pgMar w:top="1800" w:right="1440" w:bottom="1800" w:left="1440" w:header="851" w:footer="992" w:gutter="0"/>
          <w:cols w:space="425" w:num="1"/>
          <w:docGrid w:type="lines" w:linePitch="312" w:charSpace="0"/>
        </w:sectPr>
      </w:pPr>
    </w:p>
    <w:p>
      <w:pPr>
        <w:rPr>
          <w:rFonts w:hint="eastAsia" w:ascii="黑体" w:eastAsia="黑体"/>
          <w:color w:val="auto"/>
          <w:sz w:val="52"/>
          <w:szCs w:val="52"/>
        </w:rPr>
      </w:pPr>
      <w:r>
        <w:rPr>
          <w:rFonts w:hint="eastAsia" w:ascii="黑体" w:eastAsia="黑体"/>
          <w:color w:val="auto"/>
          <w:sz w:val="52"/>
          <w:szCs w:val="52"/>
        </w:rPr>
        <w:t>第三部分</w:t>
      </w:r>
    </w:p>
    <w:p>
      <w:pPr>
        <w:rPr>
          <w:rFonts w:hint="eastAsia" w:ascii="黑体" w:eastAsia="黑体"/>
          <w:color w:val="auto"/>
          <w:sz w:val="52"/>
          <w:szCs w:val="52"/>
        </w:rPr>
      </w:pPr>
    </w:p>
    <w:p>
      <w:pPr>
        <w:rPr>
          <w:rFonts w:hint="eastAsia" w:ascii="黑体" w:eastAsia="黑体"/>
          <w:color w:val="auto"/>
          <w:sz w:val="52"/>
          <w:szCs w:val="52"/>
        </w:rPr>
      </w:pPr>
    </w:p>
    <w:p>
      <w:pPr>
        <w:ind w:left="277" w:leftChars="8" w:hanging="260" w:hangingChars="50"/>
        <w:jc w:val="center"/>
        <w:rPr>
          <w:rFonts w:hint="eastAsia" w:ascii="黑体" w:eastAsia="黑体"/>
          <w:color w:val="auto"/>
          <w:sz w:val="52"/>
          <w:szCs w:val="52"/>
        </w:rPr>
      </w:pPr>
      <w:r>
        <w:rPr>
          <w:rFonts w:hint="eastAsia" w:ascii="黑体" w:eastAsia="黑体"/>
          <w:color w:val="auto"/>
          <w:sz w:val="52"/>
          <w:szCs w:val="52"/>
        </w:rPr>
        <w:t>2019年部门预算情况和</w:t>
      </w:r>
    </w:p>
    <w:p>
      <w:pPr>
        <w:ind w:left="277" w:leftChars="8" w:hanging="260" w:hangingChars="50"/>
        <w:jc w:val="center"/>
        <w:rPr>
          <w:rFonts w:hint="eastAsia" w:ascii="黑体" w:eastAsia="黑体"/>
          <w:color w:val="auto"/>
          <w:sz w:val="52"/>
          <w:szCs w:val="52"/>
        </w:rPr>
      </w:pPr>
      <w:r>
        <w:rPr>
          <w:rFonts w:hint="eastAsia" w:ascii="黑体" w:eastAsia="黑体"/>
          <w:color w:val="auto"/>
          <w:sz w:val="52"/>
          <w:szCs w:val="52"/>
        </w:rPr>
        <w:t>重要事项说明</w:t>
      </w:r>
    </w:p>
    <w:p>
      <w:pPr>
        <w:rPr>
          <w:rFonts w:hint="eastAsia" w:ascii="黑体" w:eastAsia="黑体"/>
          <w:b/>
          <w:color w:val="auto"/>
          <w:sz w:val="30"/>
          <w:szCs w:val="30"/>
        </w:rPr>
      </w:pPr>
    </w:p>
    <w:p>
      <w:pPr>
        <w:rPr>
          <w:rFonts w:hint="eastAsia" w:ascii="黑体" w:eastAsia="黑体"/>
          <w:b/>
          <w:color w:val="auto"/>
          <w:sz w:val="30"/>
          <w:szCs w:val="30"/>
        </w:rPr>
      </w:pPr>
    </w:p>
    <w:p>
      <w:pPr>
        <w:spacing w:line="580" w:lineRule="exact"/>
        <w:ind w:firstLine="640" w:firstLineChars="200"/>
        <w:rPr>
          <w:rFonts w:hint="eastAsia" w:ascii="黑体" w:eastAsia="黑体"/>
          <w:color w:val="auto"/>
          <w:sz w:val="32"/>
          <w:szCs w:val="32"/>
        </w:rPr>
      </w:pPr>
      <w:r>
        <w:rPr>
          <w:rFonts w:hint="eastAsia" w:ascii="黑体" w:eastAsia="黑体"/>
          <w:color w:val="auto"/>
          <w:sz w:val="32"/>
          <w:szCs w:val="32"/>
        </w:rPr>
        <w:t>一、2019年部门预算情况说明</w:t>
      </w:r>
    </w:p>
    <w:p>
      <w:pPr>
        <w:spacing w:line="580" w:lineRule="exact"/>
        <w:ind w:firstLine="640" w:firstLineChars="200"/>
        <w:rPr>
          <w:rFonts w:hint="eastAsia" w:ascii="楷体_GB2312" w:eastAsia="楷体_GB2312"/>
          <w:color w:val="auto"/>
          <w:sz w:val="32"/>
          <w:szCs w:val="32"/>
        </w:rPr>
      </w:pPr>
      <w:r>
        <w:rPr>
          <w:rFonts w:hint="eastAsia" w:ascii="楷体_GB2312" w:eastAsia="楷体_GB2312"/>
          <w:color w:val="auto"/>
          <w:sz w:val="32"/>
          <w:szCs w:val="32"/>
        </w:rPr>
        <w:t>（一）收支预算总体情况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2019年收入预算为</w:t>
      </w:r>
      <w:r>
        <w:rPr>
          <w:rFonts w:hint="eastAsia" w:ascii="仿宋_GB2312" w:eastAsia="仿宋_GB2312"/>
          <w:sz w:val="32"/>
          <w:szCs w:val="32"/>
          <w:lang w:val="en-US" w:eastAsia="zh-CN"/>
        </w:rPr>
        <w:t>191.47</w:t>
      </w:r>
      <w:r>
        <w:rPr>
          <w:rFonts w:hint="eastAsia" w:ascii="仿宋_GB2312" w:eastAsia="仿宋_GB2312"/>
          <w:sz w:val="32"/>
          <w:szCs w:val="32"/>
        </w:rPr>
        <w:t>万元，其中：财政拨款</w:t>
      </w:r>
      <w:r>
        <w:rPr>
          <w:rFonts w:hint="eastAsia" w:ascii="仿宋_GB2312" w:eastAsia="仿宋_GB2312"/>
          <w:sz w:val="32"/>
          <w:szCs w:val="32"/>
          <w:lang w:val="en-US" w:eastAsia="zh-CN"/>
        </w:rPr>
        <w:t>191.47</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%，财政专户管理资金</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%，事业收入</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%，事业单位经营收入</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%，上级补助收入</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%，附属单位上缴收入</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%，其他收入</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%，用事业基金弥补收支差额</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%，上年结转</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drawing>
          <wp:anchor distT="0" distB="0" distL="0" distR="0" simplePos="0" relativeHeight="251659264" behindDoc="0" locked="0" layoutInCell="1" allowOverlap="1">
            <wp:simplePos x="0" y="0"/>
            <wp:positionH relativeFrom="column">
              <wp:posOffset>643255</wp:posOffset>
            </wp:positionH>
            <wp:positionV relativeFrom="paragraph">
              <wp:posOffset>166370</wp:posOffset>
            </wp:positionV>
            <wp:extent cx="4399915" cy="2401570"/>
            <wp:effectExtent l="5080" t="4445" r="14605" b="1333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2019年支出预算为191.47万元，其中：基本支出168.47万元，</w:t>
      </w:r>
      <w:r>
        <w:rPr>
          <w:rFonts w:hint="eastAsia" w:ascii="仿宋_GB2312" w:eastAsia="仿宋_GB2312"/>
          <w:sz w:val="32"/>
          <w:szCs w:val="32"/>
          <w:lang w:eastAsia="zh-CN"/>
        </w:rPr>
        <w:t>占</w:t>
      </w:r>
      <w:r>
        <w:rPr>
          <w:rFonts w:hint="eastAsia" w:ascii="仿宋_GB2312" w:eastAsia="仿宋_GB2312"/>
          <w:sz w:val="32"/>
          <w:szCs w:val="32"/>
          <w:lang w:val="en-US" w:eastAsia="zh-CN"/>
        </w:rPr>
        <w:t>88%，</w:t>
      </w:r>
      <w:r>
        <w:rPr>
          <w:rFonts w:hint="eastAsia" w:ascii="仿宋_GB2312" w:eastAsia="仿宋_GB2312"/>
          <w:sz w:val="32"/>
          <w:szCs w:val="32"/>
        </w:rPr>
        <w:t>项目支出23万元</w:t>
      </w:r>
      <w:r>
        <w:rPr>
          <w:rFonts w:hint="eastAsia" w:ascii="仿宋_GB2312" w:eastAsia="仿宋_GB2312"/>
          <w:sz w:val="32"/>
          <w:szCs w:val="32"/>
          <w:lang w:eastAsia="zh-CN"/>
        </w:rPr>
        <w:t>，占</w:t>
      </w:r>
      <w:r>
        <w:rPr>
          <w:rFonts w:hint="eastAsia" w:ascii="仿宋_GB2312" w:eastAsia="仿宋_GB2312"/>
          <w:sz w:val="32"/>
          <w:szCs w:val="32"/>
          <w:lang w:val="en-US" w:eastAsia="zh-CN"/>
        </w:rPr>
        <w:t>12%</w:t>
      </w:r>
      <w:r>
        <w:rPr>
          <w:rFonts w:hint="eastAsia" w:ascii="仿宋_GB2312" w:eastAsia="仿宋_GB2312"/>
          <w:sz w:val="32"/>
          <w:szCs w:val="32"/>
        </w:rPr>
        <w:t>。</w:t>
      </w:r>
    </w:p>
    <w:p>
      <w:pPr>
        <w:spacing w:line="580" w:lineRule="exact"/>
        <w:ind w:firstLine="600"/>
        <w:rPr>
          <w:rFonts w:hint="eastAsia" w:ascii="楷体_GB2312" w:eastAsia="楷体_GB2312"/>
          <w:color w:val="auto"/>
          <w:sz w:val="32"/>
          <w:szCs w:val="32"/>
          <w:lang w:eastAsia="zh-CN"/>
        </w:rPr>
      </w:pPr>
      <w:r>
        <w:rPr>
          <w:rFonts w:ascii="仿宋_GB2312" w:eastAsia="仿宋_GB2312"/>
          <w:sz w:val="32"/>
          <w:szCs w:val="32"/>
        </w:rPr>
        <w:drawing>
          <wp:anchor distT="0" distB="0" distL="0" distR="0" simplePos="0" relativeHeight="251660288" behindDoc="0" locked="0" layoutInCell="1" allowOverlap="1">
            <wp:simplePos x="0" y="0"/>
            <wp:positionH relativeFrom="column">
              <wp:posOffset>623570</wp:posOffset>
            </wp:positionH>
            <wp:positionV relativeFrom="paragraph">
              <wp:posOffset>98425</wp:posOffset>
            </wp:positionV>
            <wp:extent cx="4382135" cy="2392680"/>
            <wp:effectExtent l="4445" t="4445" r="13970" b="2222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580" w:lineRule="exact"/>
        <w:ind w:firstLine="600"/>
        <w:rPr>
          <w:rFonts w:hint="eastAsia" w:ascii="楷体_GB2312" w:eastAsia="楷体_GB2312"/>
          <w:color w:val="auto"/>
          <w:sz w:val="32"/>
          <w:szCs w:val="32"/>
        </w:rPr>
      </w:pPr>
    </w:p>
    <w:p>
      <w:pPr>
        <w:spacing w:line="580" w:lineRule="exact"/>
        <w:ind w:firstLine="600"/>
        <w:rPr>
          <w:rFonts w:hint="eastAsia" w:ascii="楷体_GB2312" w:eastAsia="楷体_GB2312"/>
          <w:color w:val="auto"/>
          <w:sz w:val="32"/>
          <w:szCs w:val="32"/>
        </w:rPr>
      </w:pPr>
    </w:p>
    <w:p>
      <w:pPr>
        <w:spacing w:line="580" w:lineRule="exact"/>
        <w:ind w:firstLine="600"/>
        <w:rPr>
          <w:rFonts w:hint="eastAsia" w:ascii="楷体_GB2312" w:eastAsia="楷体_GB2312"/>
          <w:color w:val="auto"/>
          <w:sz w:val="32"/>
          <w:szCs w:val="32"/>
        </w:rPr>
      </w:pPr>
    </w:p>
    <w:p>
      <w:pPr>
        <w:spacing w:line="580" w:lineRule="exact"/>
        <w:ind w:firstLine="600"/>
        <w:rPr>
          <w:rFonts w:hint="eastAsia" w:ascii="楷体_GB2312" w:eastAsia="楷体_GB2312"/>
          <w:color w:val="auto"/>
          <w:sz w:val="32"/>
          <w:szCs w:val="32"/>
        </w:rPr>
      </w:pPr>
    </w:p>
    <w:p>
      <w:pPr>
        <w:spacing w:line="580" w:lineRule="exact"/>
        <w:ind w:firstLine="600"/>
        <w:rPr>
          <w:rFonts w:hint="eastAsia" w:ascii="楷体_GB2312" w:eastAsia="楷体_GB2312"/>
          <w:color w:val="auto"/>
          <w:sz w:val="32"/>
          <w:szCs w:val="32"/>
        </w:rPr>
      </w:pPr>
    </w:p>
    <w:p>
      <w:pPr>
        <w:spacing w:line="580" w:lineRule="exact"/>
        <w:ind w:firstLine="600"/>
        <w:rPr>
          <w:rFonts w:hint="eastAsia" w:ascii="楷体_GB2312" w:eastAsia="楷体_GB2312"/>
          <w:color w:val="auto"/>
          <w:sz w:val="32"/>
          <w:szCs w:val="32"/>
        </w:rPr>
      </w:pPr>
    </w:p>
    <w:p>
      <w:pPr>
        <w:spacing w:line="580" w:lineRule="exact"/>
        <w:ind w:firstLine="600"/>
        <w:rPr>
          <w:rFonts w:hint="eastAsia" w:ascii="楷体_GB2312" w:eastAsia="楷体_GB2312"/>
          <w:color w:val="auto"/>
          <w:sz w:val="32"/>
          <w:szCs w:val="32"/>
        </w:rPr>
      </w:pPr>
      <w:r>
        <w:rPr>
          <w:rFonts w:hint="eastAsia" w:ascii="楷体_GB2312" w:eastAsia="楷体_GB2312"/>
          <w:color w:val="auto"/>
          <w:sz w:val="32"/>
          <w:szCs w:val="32"/>
        </w:rPr>
        <w:t>（二）财政拨款收支情况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2019年财政拨款收入预算为</w:t>
      </w:r>
      <w:r>
        <w:rPr>
          <w:rFonts w:hint="eastAsia" w:ascii="仿宋_GB2312" w:eastAsia="仿宋_GB2312"/>
          <w:sz w:val="32"/>
          <w:szCs w:val="32"/>
          <w:lang w:val="en-US" w:eastAsia="zh-CN"/>
        </w:rPr>
        <w:t>191.47</w:t>
      </w:r>
      <w:r>
        <w:rPr>
          <w:rFonts w:hint="eastAsia" w:ascii="仿宋_GB2312" w:eastAsia="仿宋_GB2312"/>
          <w:sz w:val="32"/>
          <w:szCs w:val="32"/>
        </w:rPr>
        <w:t>万元，其中：一般公共预算</w:t>
      </w:r>
      <w:r>
        <w:rPr>
          <w:rFonts w:hint="eastAsia" w:ascii="仿宋_GB2312" w:eastAsia="仿宋_GB2312"/>
          <w:sz w:val="32"/>
          <w:szCs w:val="32"/>
          <w:lang w:val="en-US" w:eastAsia="zh-CN"/>
        </w:rPr>
        <w:t>171.47</w:t>
      </w:r>
      <w:r>
        <w:rPr>
          <w:rFonts w:hint="eastAsia" w:ascii="仿宋_GB2312" w:eastAsia="仿宋_GB2312"/>
          <w:sz w:val="32"/>
          <w:szCs w:val="32"/>
        </w:rPr>
        <w:t>万元，占</w:t>
      </w:r>
      <w:r>
        <w:rPr>
          <w:rFonts w:hint="eastAsia" w:ascii="仿宋_GB2312" w:eastAsia="仿宋_GB2312"/>
          <w:sz w:val="32"/>
          <w:szCs w:val="32"/>
          <w:lang w:val="en-US" w:eastAsia="zh-CN"/>
        </w:rPr>
        <w:t>89.55</w:t>
      </w:r>
      <w:r>
        <w:rPr>
          <w:rFonts w:hint="eastAsia" w:ascii="仿宋_GB2312" w:eastAsia="仿宋_GB2312"/>
          <w:sz w:val="32"/>
          <w:szCs w:val="32"/>
        </w:rPr>
        <w:t>%；政府性基金预算</w:t>
      </w:r>
      <w:r>
        <w:rPr>
          <w:rFonts w:hint="eastAsia" w:ascii="仿宋_GB2312" w:eastAsia="仿宋_GB2312"/>
          <w:sz w:val="32"/>
          <w:szCs w:val="32"/>
          <w:lang w:val="en-US" w:eastAsia="zh-CN"/>
        </w:rPr>
        <w:t>20</w:t>
      </w:r>
      <w:r>
        <w:rPr>
          <w:rFonts w:hint="eastAsia" w:ascii="仿宋_GB2312" w:eastAsia="仿宋_GB2312"/>
          <w:sz w:val="32"/>
          <w:szCs w:val="32"/>
        </w:rPr>
        <w:t>万元，占</w:t>
      </w:r>
      <w:r>
        <w:rPr>
          <w:rFonts w:hint="eastAsia" w:ascii="仿宋_GB2312" w:eastAsia="仿宋_GB2312"/>
          <w:sz w:val="32"/>
          <w:szCs w:val="32"/>
          <w:lang w:val="en-US" w:eastAsia="zh-CN"/>
        </w:rPr>
        <w:t>10.45</w:t>
      </w:r>
      <w:r>
        <w:rPr>
          <w:rFonts w:hint="eastAsia" w:ascii="仿宋_GB2312" w:eastAsia="仿宋_GB2312"/>
          <w:sz w:val="32"/>
          <w:szCs w:val="32"/>
        </w:rPr>
        <w:t>%；国有资本经营预算</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sz w:val="32"/>
          <w:szCs w:val="32"/>
        </w:rPr>
        <w:t>2019年财政拨款支出预算为</w:t>
      </w:r>
      <w:r>
        <w:rPr>
          <w:rFonts w:hint="eastAsia" w:ascii="仿宋_GB2312" w:eastAsia="仿宋_GB2312"/>
          <w:sz w:val="32"/>
          <w:szCs w:val="32"/>
          <w:lang w:val="en-US" w:eastAsia="zh-CN"/>
        </w:rPr>
        <w:t>191.47</w:t>
      </w:r>
      <w:r>
        <w:rPr>
          <w:rFonts w:hint="eastAsia" w:ascii="仿宋_GB2312" w:eastAsia="仿宋_GB2312"/>
          <w:sz w:val="32"/>
          <w:szCs w:val="32"/>
        </w:rPr>
        <w:t>万元，</w:t>
      </w:r>
      <w:r>
        <w:rPr>
          <w:rFonts w:hint="eastAsia" w:ascii="仿宋_GB2312" w:eastAsia="仿宋_GB2312"/>
          <w:color w:val="auto"/>
          <w:sz w:val="32"/>
          <w:szCs w:val="32"/>
          <w:lang w:eastAsia="zh-CN"/>
        </w:rPr>
        <w:t>其中：</w:t>
      </w:r>
      <w:r>
        <w:rPr>
          <w:rFonts w:hint="eastAsia" w:ascii="仿宋_GB2312" w:eastAsia="仿宋_GB2312"/>
          <w:color w:val="auto"/>
          <w:sz w:val="32"/>
          <w:szCs w:val="32"/>
        </w:rPr>
        <w:t>文化旅游体育与传媒支出（类）支出191.47万元</w:t>
      </w:r>
      <w:r>
        <w:rPr>
          <w:rFonts w:hint="eastAsia" w:ascii="仿宋_GB2312" w:eastAsia="仿宋_GB2312"/>
          <w:color w:val="auto"/>
          <w:sz w:val="32"/>
          <w:szCs w:val="32"/>
          <w:lang w:eastAsia="zh-CN"/>
        </w:rPr>
        <w:t>，占</w:t>
      </w:r>
      <w:r>
        <w:rPr>
          <w:rFonts w:hint="eastAsia" w:ascii="仿宋_GB2312" w:eastAsia="仿宋_GB2312"/>
          <w:color w:val="auto"/>
          <w:sz w:val="32"/>
          <w:szCs w:val="32"/>
          <w:lang w:val="en-US" w:eastAsia="zh-CN"/>
        </w:rPr>
        <w:t>100%</w:t>
      </w:r>
    </w:p>
    <w:p>
      <w:pPr>
        <w:spacing w:line="580" w:lineRule="exact"/>
        <w:ind w:firstLine="600"/>
        <w:rPr>
          <w:rFonts w:hint="eastAsia" w:ascii="楷体_GB2312" w:eastAsia="楷体_GB2312"/>
          <w:color w:val="auto"/>
          <w:sz w:val="32"/>
          <w:szCs w:val="32"/>
        </w:rPr>
      </w:pPr>
      <w:r>
        <w:rPr>
          <w:rFonts w:hint="eastAsia" w:ascii="楷体_GB2312" w:eastAsia="楷体_GB2312"/>
          <w:color w:val="auto"/>
          <w:sz w:val="32"/>
          <w:szCs w:val="32"/>
        </w:rPr>
        <w:t>（三）一般公共预算财政拨款支出预算情况</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2019年一般公共预算财政拨款支出预算为191.47万元，比上年增长4%，主要是落实基本工资调整政策等，人员支出相应增加，社会保障缴费也相应增加。</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2019年当年一般公共预算支出预算为</w:t>
      </w:r>
      <w:r>
        <w:rPr>
          <w:rFonts w:hint="eastAsia" w:ascii="仿宋_GB2312" w:eastAsia="仿宋_GB2312"/>
          <w:color w:val="auto"/>
          <w:sz w:val="32"/>
          <w:szCs w:val="32"/>
          <w:lang w:val="en-US" w:eastAsia="zh-CN"/>
        </w:rPr>
        <w:t>191.47</w:t>
      </w:r>
      <w:r>
        <w:rPr>
          <w:rFonts w:hint="eastAsia" w:ascii="仿宋_GB2312" w:eastAsia="仿宋_GB2312"/>
          <w:color w:val="auto"/>
          <w:sz w:val="32"/>
          <w:szCs w:val="32"/>
        </w:rPr>
        <w:t>万元，比上年增长</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%，其中：一般公共服务（类）支出</w:t>
      </w:r>
      <w:r>
        <w:rPr>
          <w:rFonts w:hint="eastAsia" w:ascii="仿宋_GB2312" w:eastAsia="仿宋_GB2312"/>
          <w:color w:val="auto"/>
          <w:sz w:val="32"/>
          <w:szCs w:val="32"/>
          <w:lang w:val="en-US" w:eastAsia="zh-CN"/>
        </w:rPr>
        <w:t>191.47</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%。具体情况如下：</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文化旅游体育与传媒支出（类）文化和旅游（款）图书馆（项）支出191.47 万元，主要用于人员工资及社保、日常办公经费、免费开放支出。</w:t>
      </w:r>
    </w:p>
    <w:p>
      <w:pPr>
        <w:spacing w:line="580" w:lineRule="exact"/>
        <w:ind w:firstLine="600"/>
        <w:rPr>
          <w:rFonts w:hint="eastAsia" w:ascii="楷体_GB2312" w:eastAsia="楷体_GB2312"/>
          <w:color w:val="auto"/>
          <w:sz w:val="32"/>
          <w:szCs w:val="32"/>
        </w:rPr>
      </w:pPr>
      <w:r>
        <w:rPr>
          <w:rFonts w:hint="eastAsia" w:ascii="楷体_GB2312" w:eastAsia="楷体_GB2312"/>
          <w:color w:val="auto"/>
          <w:sz w:val="32"/>
          <w:szCs w:val="32"/>
        </w:rPr>
        <w:t>（四）政府性基金支出预算情况</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曲阜市图书馆</w:t>
      </w:r>
      <w:bookmarkStart w:id="0" w:name="_GoBack"/>
      <w:bookmarkEnd w:id="0"/>
      <w:r>
        <w:rPr>
          <w:rFonts w:hint="eastAsia" w:ascii="仿宋_GB2312" w:eastAsia="仿宋_GB2312"/>
          <w:color w:val="auto"/>
          <w:sz w:val="32"/>
          <w:szCs w:val="32"/>
        </w:rPr>
        <w:t>2019年没有使用政府性基金预算拨款安排的支出。</w:t>
      </w:r>
    </w:p>
    <w:p>
      <w:pPr>
        <w:spacing w:line="580" w:lineRule="exact"/>
        <w:ind w:firstLine="640" w:firstLineChars="200"/>
        <w:rPr>
          <w:rFonts w:ascii="楷体_GB2312" w:eastAsia="楷体_GB2312"/>
          <w:sz w:val="32"/>
          <w:szCs w:val="32"/>
        </w:rPr>
      </w:pPr>
      <w:r>
        <w:rPr>
          <w:rFonts w:hint="eastAsia" w:ascii="楷体_GB2312" w:eastAsia="楷体_GB2312"/>
          <w:color w:val="auto"/>
          <w:sz w:val="32"/>
          <w:szCs w:val="32"/>
        </w:rPr>
        <w:t>（五）国有资本经营预算收支情况</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曲阜市图书馆</w:t>
      </w:r>
      <w:r>
        <w:rPr>
          <w:rFonts w:hint="eastAsia" w:ascii="仿宋_GB2312" w:eastAsia="仿宋_GB2312"/>
          <w:color w:val="auto"/>
          <w:sz w:val="32"/>
          <w:szCs w:val="32"/>
        </w:rPr>
        <w:t>2019年没有使用国有资本经营预算收入安排的支出。</w:t>
      </w:r>
    </w:p>
    <w:p>
      <w:pPr>
        <w:spacing w:line="580" w:lineRule="exact"/>
        <w:ind w:firstLine="600"/>
        <w:rPr>
          <w:rFonts w:hint="eastAsia" w:ascii="楷体_GB2312" w:eastAsia="楷体_GB2312"/>
          <w:color w:val="auto"/>
          <w:sz w:val="32"/>
          <w:szCs w:val="32"/>
        </w:rPr>
      </w:pPr>
      <w:r>
        <w:rPr>
          <w:rFonts w:hint="eastAsia" w:ascii="楷体_GB2312" w:eastAsia="楷体_GB2312"/>
          <w:color w:val="auto"/>
          <w:sz w:val="32"/>
          <w:szCs w:val="32"/>
        </w:rPr>
        <w:t>（</w:t>
      </w:r>
      <w:r>
        <w:rPr>
          <w:rFonts w:hint="eastAsia" w:ascii="楷体_GB2312" w:eastAsia="楷体_GB2312"/>
          <w:color w:val="auto"/>
          <w:sz w:val="32"/>
          <w:szCs w:val="32"/>
          <w:lang w:eastAsia="zh-CN"/>
        </w:rPr>
        <w:t>六</w:t>
      </w:r>
      <w:r>
        <w:rPr>
          <w:rFonts w:hint="eastAsia" w:ascii="楷体_GB2312" w:eastAsia="楷体_GB2312"/>
          <w:color w:val="auto"/>
          <w:sz w:val="32"/>
          <w:szCs w:val="32"/>
        </w:rPr>
        <w:t>）财政拨款安排的基本支出情况</w:t>
      </w:r>
    </w:p>
    <w:p>
      <w:pPr>
        <w:spacing w:line="580" w:lineRule="exact"/>
        <w:ind w:firstLine="600"/>
        <w:rPr>
          <w:rFonts w:hint="eastAsia" w:ascii="仿宋_GB2312" w:eastAsia="仿宋_GB2312"/>
          <w:color w:val="auto"/>
          <w:sz w:val="32"/>
          <w:szCs w:val="32"/>
        </w:rPr>
      </w:pPr>
      <w:r>
        <w:rPr>
          <w:rFonts w:hint="eastAsia" w:ascii="仿宋_GB2312" w:eastAsia="仿宋_GB2312"/>
          <w:color w:val="auto"/>
          <w:sz w:val="32"/>
          <w:szCs w:val="32"/>
        </w:rPr>
        <w:t>2019财政拨款安排的基本支出预算168.47万元，其中：</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人员经费160.82万元，主要包括：基本工资、津贴补贴、奖金、社会保险缴费、伙食补助费、绩效工资、其他工资福利支出、离休费、退休费、抚恤金、生活补助、医疗费、助学金、奖励金、住房公积金、其他对个人和家庭的补助支出等。</w:t>
      </w:r>
    </w:p>
    <w:p>
      <w:pPr>
        <w:spacing w:line="580" w:lineRule="exact"/>
        <w:rPr>
          <w:rFonts w:hint="eastAsia" w:ascii="仿宋_GB2312" w:eastAsia="仿宋_GB2312"/>
          <w:color w:val="auto"/>
          <w:sz w:val="32"/>
          <w:szCs w:val="32"/>
        </w:rPr>
      </w:pPr>
      <w:r>
        <w:rPr>
          <w:rFonts w:hint="eastAsia" w:ascii="仿宋_GB2312" w:eastAsia="仿宋_GB2312"/>
          <w:color w:val="auto"/>
          <w:sz w:val="32"/>
          <w:szCs w:val="32"/>
        </w:rPr>
        <w:t xml:space="preserve">    日常公用经费7.65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等。</w:t>
      </w:r>
    </w:p>
    <w:p>
      <w:pPr>
        <w:spacing w:line="580" w:lineRule="exact"/>
        <w:ind w:firstLine="600"/>
        <w:rPr>
          <w:rFonts w:hint="eastAsia" w:ascii="黑体" w:hAnsi="黑体" w:eastAsia="黑体"/>
          <w:color w:val="auto"/>
          <w:sz w:val="32"/>
          <w:szCs w:val="32"/>
        </w:rPr>
      </w:pPr>
      <w:r>
        <w:rPr>
          <w:rFonts w:hint="eastAsia" w:ascii="黑体" w:hAnsi="黑体" w:eastAsia="黑体"/>
          <w:color w:val="auto"/>
          <w:sz w:val="32"/>
          <w:szCs w:val="32"/>
        </w:rPr>
        <w:t>二、重要事项说明</w:t>
      </w:r>
    </w:p>
    <w:p>
      <w:pPr>
        <w:spacing w:line="580" w:lineRule="exact"/>
        <w:ind w:firstLine="600"/>
        <w:rPr>
          <w:rFonts w:hint="eastAsia" w:ascii="仿宋_GB2312" w:eastAsia="仿宋_GB2312"/>
          <w:color w:val="auto"/>
          <w:sz w:val="32"/>
          <w:szCs w:val="32"/>
        </w:rPr>
      </w:pPr>
      <w:r>
        <w:rPr>
          <w:rFonts w:hint="eastAsia" w:ascii="楷体_GB2312" w:eastAsia="楷体_GB2312"/>
          <w:color w:val="auto"/>
          <w:sz w:val="32"/>
          <w:szCs w:val="32"/>
        </w:rPr>
        <w:t>（一）政府采购情况</w:t>
      </w:r>
    </w:p>
    <w:p>
      <w:pPr>
        <w:spacing w:line="580" w:lineRule="exact"/>
        <w:ind w:firstLine="600"/>
        <w:rPr>
          <w:rFonts w:hint="eastAsia" w:ascii="仿宋_GB2312" w:eastAsia="仿宋_GB2312"/>
          <w:color w:val="auto"/>
          <w:sz w:val="32"/>
          <w:szCs w:val="32"/>
        </w:rPr>
      </w:pPr>
      <w:r>
        <w:rPr>
          <w:rFonts w:hint="eastAsia" w:ascii="仿宋_GB2312" w:eastAsia="仿宋_GB2312"/>
          <w:color w:val="auto"/>
          <w:sz w:val="32"/>
          <w:szCs w:val="32"/>
        </w:rPr>
        <w:t>本部门2019年安排政府采购预算</w:t>
      </w:r>
      <w:r>
        <w:rPr>
          <w:rFonts w:hint="eastAsia" w:ascii="仿宋_GB2312" w:eastAsia="仿宋_GB2312"/>
          <w:color w:val="auto"/>
          <w:sz w:val="32"/>
          <w:szCs w:val="32"/>
          <w:lang w:val="en-US" w:eastAsia="zh-CN"/>
        </w:rPr>
        <w:t>11.6</w:t>
      </w:r>
      <w:r>
        <w:rPr>
          <w:rFonts w:hint="eastAsia" w:ascii="仿宋_GB2312" w:eastAsia="仿宋_GB2312"/>
          <w:color w:val="auto"/>
          <w:sz w:val="32"/>
          <w:szCs w:val="32"/>
        </w:rPr>
        <w:t>万元，其中：财政拨款安排</w:t>
      </w:r>
      <w:r>
        <w:rPr>
          <w:rFonts w:hint="eastAsia" w:ascii="仿宋_GB2312" w:eastAsia="仿宋_GB2312"/>
          <w:color w:val="auto"/>
          <w:sz w:val="32"/>
          <w:szCs w:val="32"/>
          <w:lang w:val="en-US" w:eastAsia="zh-CN"/>
        </w:rPr>
        <w:t>11.6</w:t>
      </w:r>
      <w:r>
        <w:rPr>
          <w:rFonts w:hint="eastAsia" w:ascii="仿宋_GB2312" w:eastAsia="仿宋_GB2312"/>
          <w:color w:val="auto"/>
          <w:sz w:val="32"/>
          <w:szCs w:val="32"/>
        </w:rPr>
        <w:t>万元，财政专户管理资金安排</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万元，其他自有资金安排</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万元，上年结转资金安排</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万元。政府采购货物预算</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 政府采购工程预算</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万元、政府采购服务预算</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spacing w:line="580" w:lineRule="exact"/>
        <w:ind w:firstLine="600"/>
        <w:rPr>
          <w:rFonts w:hint="eastAsia" w:ascii="楷体_GB2312" w:eastAsia="楷体_GB2312"/>
          <w:color w:val="auto"/>
          <w:sz w:val="32"/>
          <w:szCs w:val="32"/>
        </w:rPr>
      </w:pPr>
      <w:r>
        <w:rPr>
          <w:rFonts w:hint="eastAsia" w:ascii="楷体_GB2312" w:eastAsia="楷体_GB2312"/>
          <w:color w:val="auto"/>
          <w:sz w:val="32"/>
          <w:szCs w:val="32"/>
        </w:rPr>
        <w:t>（二）财政拨款安排的“三公”经费情况</w:t>
      </w:r>
    </w:p>
    <w:p>
      <w:pPr>
        <w:spacing w:line="580" w:lineRule="exact"/>
        <w:ind w:firstLine="600"/>
        <w:rPr>
          <w:rFonts w:hint="eastAsia" w:ascii="仿宋_GB2312" w:eastAsia="仿宋_GB2312"/>
          <w:color w:val="auto"/>
          <w:sz w:val="32"/>
          <w:szCs w:val="32"/>
        </w:rPr>
      </w:pPr>
      <w:r>
        <w:rPr>
          <w:rFonts w:hint="eastAsia" w:ascii="仿宋_GB2312" w:eastAsia="仿宋_GB2312"/>
          <w:color w:val="auto"/>
          <w:sz w:val="32"/>
          <w:szCs w:val="32"/>
        </w:rPr>
        <w:t>2019年，通过一般公共预算财政拨款安排的</w:t>
      </w:r>
      <w:r>
        <w:rPr>
          <w:rFonts w:hint="eastAsia" w:eastAsia="仿宋_GB2312"/>
          <w:color w:val="auto"/>
          <w:sz w:val="32"/>
          <w:szCs w:val="32"/>
        </w:rPr>
        <w:t>“三公”经费预算共</w:t>
      </w:r>
      <w:r>
        <w:rPr>
          <w:rFonts w:hint="eastAsia" w:ascii="仿宋_GB2312" w:eastAsia="仿宋_GB2312"/>
          <w:color w:val="auto"/>
          <w:sz w:val="32"/>
          <w:szCs w:val="32"/>
        </w:rPr>
        <w:t xml:space="preserve"> 1.1</w:t>
      </w:r>
      <w:r>
        <w:rPr>
          <w:rFonts w:hint="eastAsia" w:eastAsia="仿宋_GB2312"/>
          <w:color w:val="auto"/>
          <w:sz w:val="32"/>
          <w:szCs w:val="32"/>
        </w:rPr>
        <w:t>万元，其中：</w:t>
      </w:r>
      <w:r>
        <w:rPr>
          <w:rFonts w:hint="eastAsia" w:ascii="仿宋_GB2312" w:eastAsia="仿宋_GB2312"/>
          <w:color w:val="auto"/>
          <w:sz w:val="32"/>
          <w:szCs w:val="32"/>
        </w:rPr>
        <w:t>因公</w:t>
      </w:r>
      <w:r>
        <w:rPr>
          <w:rFonts w:hint="eastAsia" w:eastAsia="仿宋_GB2312"/>
          <w:color w:val="auto"/>
          <w:sz w:val="32"/>
          <w:szCs w:val="32"/>
        </w:rPr>
        <w:t>出国（境）费</w:t>
      </w:r>
      <w:r>
        <w:rPr>
          <w:rFonts w:hint="eastAsia" w:ascii="仿宋_GB2312" w:eastAsia="仿宋_GB2312"/>
          <w:color w:val="auto"/>
          <w:sz w:val="32"/>
          <w:szCs w:val="32"/>
        </w:rPr>
        <w:t xml:space="preserve"> 0万元，</w:t>
      </w:r>
      <w:r>
        <w:rPr>
          <w:rFonts w:hint="eastAsia" w:eastAsia="仿宋_GB2312"/>
          <w:color w:val="auto"/>
          <w:sz w:val="32"/>
          <w:szCs w:val="32"/>
        </w:rPr>
        <w:t>公务用车购置及运行费</w:t>
      </w:r>
      <w:r>
        <w:rPr>
          <w:rFonts w:hint="eastAsia" w:ascii="仿宋_GB2312" w:eastAsia="仿宋_GB2312"/>
          <w:color w:val="auto"/>
          <w:sz w:val="32"/>
          <w:szCs w:val="32"/>
        </w:rPr>
        <w:t xml:space="preserve"> 0万元，</w:t>
      </w:r>
      <w:r>
        <w:rPr>
          <w:rFonts w:hint="eastAsia" w:eastAsia="仿宋_GB2312"/>
          <w:color w:val="auto"/>
          <w:sz w:val="32"/>
          <w:szCs w:val="32"/>
        </w:rPr>
        <w:t>公务接待费</w:t>
      </w:r>
      <w:r>
        <w:rPr>
          <w:rFonts w:hint="eastAsia" w:ascii="仿宋_GB2312" w:eastAsia="仿宋_GB2312"/>
          <w:color w:val="auto"/>
          <w:sz w:val="32"/>
          <w:szCs w:val="32"/>
        </w:rPr>
        <w:t>1.1万元</w:t>
      </w:r>
      <w:r>
        <w:rPr>
          <w:rFonts w:hint="eastAsia" w:eastAsia="仿宋_GB2312"/>
          <w:color w:val="auto"/>
          <w:sz w:val="32"/>
          <w:szCs w:val="32"/>
        </w:rPr>
        <w:t>。</w:t>
      </w:r>
    </w:p>
    <w:p>
      <w:pPr>
        <w:spacing w:line="580" w:lineRule="exact"/>
        <w:ind w:firstLine="600"/>
        <w:rPr>
          <w:rFonts w:hint="eastAsia" w:ascii="仿宋_GB2312" w:eastAsia="仿宋_GB2312"/>
          <w:color w:val="auto"/>
          <w:sz w:val="32"/>
          <w:szCs w:val="32"/>
        </w:rPr>
      </w:pPr>
      <w:r>
        <w:rPr>
          <w:rFonts w:hint="eastAsia" w:ascii="仿宋_GB2312" w:eastAsia="仿宋_GB2312"/>
          <w:color w:val="auto"/>
          <w:sz w:val="32"/>
          <w:szCs w:val="32"/>
        </w:rPr>
        <w:t>2019年</w:t>
      </w:r>
      <w:r>
        <w:rPr>
          <w:rFonts w:hint="eastAsia" w:eastAsia="仿宋_GB2312"/>
          <w:color w:val="auto"/>
          <w:sz w:val="32"/>
          <w:szCs w:val="32"/>
        </w:rPr>
        <w:t>“三公”经</w:t>
      </w:r>
      <w:r>
        <w:rPr>
          <w:rFonts w:hint="eastAsia" w:ascii="仿宋_GB2312" w:eastAsia="仿宋_GB2312"/>
          <w:color w:val="auto"/>
          <w:sz w:val="32"/>
          <w:szCs w:val="32"/>
        </w:rPr>
        <w:t>费预算比2018年</w:t>
      </w:r>
      <w:r>
        <w:rPr>
          <w:rFonts w:hint="eastAsia" w:eastAsia="仿宋_GB2312"/>
          <w:color w:val="auto"/>
          <w:sz w:val="32"/>
          <w:szCs w:val="32"/>
        </w:rPr>
        <w:t>减少</w:t>
      </w:r>
      <w:r>
        <w:rPr>
          <w:rFonts w:hint="eastAsia" w:ascii="仿宋_GB2312" w:eastAsia="仿宋_GB2312"/>
          <w:color w:val="auto"/>
          <w:sz w:val="32"/>
          <w:szCs w:val="32"/>
        </w:rPr>
        <w:t xml:space="preserve">2.8万元，其中：因公出国（境）费与2018年基本持平、公务用车购置及运行费减少2.4万元、公务接待费减少 </w:t>
      </w:r>
      <w:r>
        <w:rPr>
          <w:rFonts w:hint="eastAsia" w:eastAsia="仿宋_GB2312"/>
          <w:color w:val="auto"/>
          <w:sz w:val="32"/>
          <w:szCs w:val="32"/>
        </w:rPr>
        <w:t>0.4 万元</w:t>
      </w:r>
      <w:r>
        <w:rPr>
          <w:rFonts w:hint="eastAsia" w:ascii="楷体_GB2312" w:eastAsia="楷体_GB2312"/>
          <w:color w:val="auto"/>
          <w:sz w:val="32"/>
          <w:szCs w:val="32"/>
        </w:rPr>
        <w:t>。</w:t>
      </w:r>
      <w:r>
        <w:rPr>
          <w:rFonts w:hint="eastAsia" w:ascii="仿宋_GB2312" w:eastAsia="仿宋_GB2312"/>
          <w:color w:val="auto"/>
          <w:sz w:val="32"/>
          <w:szCs w:val="32"/>
        </w:rPr>
        <w:t>因公出国（境）费持平的主要原因是无因公出国（境）费。公务用车购置及运行费减少的主要原因是公务用车改革。公务接待费减少的主要原因是压缩接待支出。</w:t>
      </w:r>
    </w:p>
    <w:p>
      <w:pPr>
        <w:spacing w:line="580" w:lineRule="exact"/>
        <w:ind w:firstLine="600"/>
        <w:rPr>
          <w:rFonts w:hint="eastAsia" w:ascii="楷体_GB2312" w:eastAsia="楷体_GB2312"/>
          <w:color w:val="auto"/>
          <w:sz w:val="32"/>
          <w:szCs w:val="32"/>
        </w:rPr>
      </w:pPr>
      <w:r>
        <w:rPr>
          <w:rFonts w:hint="eastAsia" w:ascii="楷体_GB2312" w:eastAsia="楷体_GB2312"/>
          <w:color w:val="auto"/>
          <w:sz w:val="32"/>
          <w:szCs w:val="32"/>
        </w:rPr>
        <w:t>（三）机关运行经费情况说明</w:t>
      </w:r>
    </w:p>
    <w:p>
      <w:pPr>
        <w:spacing w:line="580" w:lineRule="exact"/>
        <w:ind w:firstLine="600"/>
        <w:rPr>
          <w:rFonts w:hint="eastAsia" w:ascii="仿宋_GB2312" w:eastAsia="仿宋_GB2312"/>
          <w:color w:val="auto"/>
          <w:sz w:val="32"/>
          <w:szCs w:val="32"/>
          <w:lang w:eastAsia="zh-CN"/>
        </w:rPr>
      </w:pPr>
      <w:r>
        <w:rPr>
          <w:rFonts w:hint="eastAsia" w:ascii="仿宋_GB2312" w:eastAsia="仿宋_GB2312"/>
          <w:color w:val="auto"/>
          <w:sz w:val="32"/>
          <w:szCs w:val="32"/>
        </w:rPr>
        <w:t xml:space="preserve"> 本部门所属预算单位全部为事业单位，无机关运行经费支出</w:t>
      </w:r>
      <w:r>
        <w:rPr>
          <w:rFonts w:hint="eastAsia" w:ascii="仿宋_GB2312" w:eastAsia="仿宋_GB2312"/>
          <w:color w:val="auto"/>
          <w:sz w:val="32"/>
          <w:szCs w:val="32"/>
          <w:lang w:eastAsia="zh-CN"/>
        </w:rPr>
        <w:t>。</w:t>
      </w:r>
    </w:p>
    <w:p>
      <w:pPr>
        <w:spacing w:line="580" w:lineRule="exact"/>
        <w:ind w:firstLine="600"/>
        <w:rPr>
          <w:rFonts w:hint="eastAsia" w:ascii="楷体_GB2312" w:eastAsia="楷体_GB2312"/>
          <w:color w:val="auto"/>
          <w:sz w:val="32"/>
          <w:szCs w:val="32"/>
        </w:rPr>
      </w:pPr>
      <w:r>
        <w:rPr>
          <w:rFonts w:hint="eastAsia" w:ascii="楷体_GB2312" w:eastAsia="楷体_GB2312"/>
          <w:color w:val="auto"/>
          <w:sz w:val="32"/>
          <w:szCs w:val="32"/>
        </w:rPr>
        <w:t>（四）国有资产占有使用情况</w:t>
      </w:r>
    </w:p>
    <w:p>
      <w:pPr>
        <w:spacing w:line="58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截至2018年12月31日，</w:t>
      </w:r>
      <w:r>
        <w:rPr>
          <w:rFonts w:hint="eastAsia" w:ascii="仿宋_GB2312" w:eastAsia="仿宋_GB2312"/>
          <w:sz w:val="32"/>
          <w:szCs w:val="32"/>
          <w:lang w:eastAsia="zh-CN"/>
        </w:rPr>
        <w:t>曲阜市图书馆</w:t>
      </w:r>
      <w:r>
        <w:rPr>
          <w:rFonts w:hint="eastAsia" w:ascii="仿宋_GB2312" w:hAnsi="仿宋_GB2312" w:eastAsia="仿宋_GB2312" w:cs="仿宋_GB2312"/>
          <w:color w:val="000000"/>
          <w:sz w:val="32"/>
          <w:szCs w:val="32"/>
        </w:rPr>
        <w:t>所属各预算单位共有车辆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辆，其中，</w:t>
      </w:r>
      <w:r>
        <w:rPr>
          <w:rFonts w:hint="eastAsia" w:ascii="仿宋_GB2312" w:eastAsia="仿宋_GB2312"/>
          <w:color w:val="000000" w:themeColor="text1"/>
          <w:sz w:val="32"/>
          <w:szCs w:val="32"/>
          <w14:textFill>
            <w14:solidFill>
              <w14:schemeClr w14:val="tx1"/>
            </w14:solidFill>
          </w14:textFill>
        </w:rPr>
        <w:t>一般公务用车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辆，执法执勤用车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辆，专业技术用车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辆，其他车辆</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w:t>
      </w:r>
      <w:r>
        <w:rPr>
          <w:rFonts w:hint="eastAsia" w:ascii="仿宋_GB2312" w:hAnsi="仿宋_GB2312" w:eastAsia="仿宋_GB2312" w:cs="仿宋_GB2312"/>
          <w:color w:val="000000"/>
          <w:sz w:val="32"/>
          <w:szCs w:val="32"/>
        </w:rPr>
        <w:t>；单位价值50万元以上通用设备</w:t>
      </w:r>
      <w:r>
        <w:rPr>
          <w:rFonts w:hint="eastAsia" w:ascii="仿宋_GB2312" w:eastAsia="仿宋_GB2312"/>
          <w:sz w:val="32"/>
          <w:szCs w:val="32"/>
          <w:lang w:val="en-US" w:eastAsia="zh-CN"/>
        </w:rPr>
        <w:t>0</w:t>
      </w:r>
      <w:r>
        <w:rPr>
          <w:rFonts w:hint="eastAsia" w:ascii="仿宋_GB2312" w:hAnsi="仿宋_GB2312" w:eastAsia="仿宋_GB2312" w:cs="仿宋_GB2312"/>
          <w:color w:val="000000"/>
          <w:sz w:val="32"/>
          <w:szCs w:val="32"/>
        </w:rPr>
        <w:t>（台、件、套）。单位价值100万元以上专用设备</w:t>
      </w:r>
      <w:r>
        <w:rPr>
          <w:rFonts w:hint="eastAsia" w:ascii="仿宋_GB2312" w:eastAsia="仿宋_GB2312"/>
          <w:sz w:val="32"/>
          <w:szCs w:val="32"/>
          <w:lang w:val="en-US" w:eastAsia="zh-CN"/>
        </w:rPr>
        <w:t>0</w:t>
      </w:r>
      <w:r>
        <w:rPr>
          <w:rFonts w:hint="eastAsia" w:ascii="仿宋_GB2312" w:hAnsi="仿宋_GB2312" w:eastAsia="仿宋_GB2312" w:cs="仿宋_GB2312"/>
          <w:color w:val="000000"/>
          <w:sz w:val="32"/>
          <w:szCs w:val="32"/>
        </w:rPr>
        <w:t>（台、件、套）。</w:t>
      </w:r>
    </w:p>
    <w:p>
      <w:pPr>
        <w:spacing w:line="580" w:lineRule="exact"/>
        <w:ind w:firstLine="600"/>
        <w:rPr>
          <w:rFonts w:hint="eastAsia" w:ascii="仿宋_GB2312" w:eastAsia="仿宋_GB2312"/>
          <w:color w:val="auto"/>
          <w:sz w:val="32"/>
          <w:szCs w:val="32"/>
        </w:rPr>
      </w:pPr>
      <w:r>
        <w:rPr>
          <w:rFonts w:hint="eastAsia" w:ascii="仿宋_GB2312" w:eastAsia="仿宋_GB2312"/>
          <w:color w:val="auto"/>
          <w:sz w:val="32"/>
          <w:szCs w:val="32"/>
        </w:rPr>
        <w:t>2019年部门预算未安排购置单位价值100万元以上专用设备</w:t>
      </w:r>
      <w:r>
        <w:rPr>
          <w:rFonts w:hint="eastAsia" w:ascii="仿宋_GB2312" w:eastAsia="仿宋_GB2312"/>
          <w:color w:val="auto"/>
          <w:sz w:val="32"/>
          <w:szCs w:val="32"/>
          <w:lang w:eastAsia="zh-CN"/>
        </w:rPr>
        <w:t>。</w:t>
      </w:r>
    </w:p>
    <w:p>
      <w:pPr>
        <w:spacing w:line="580" w:lineRule="exact"/>
        <w:ind w:firstLine="600"/>
        <w:rPr>
          <w:rFonts w:hint="eastAsia" w:ascii="楷体_GB2312" w:eastAsia="楷体_GB2312"/>
          <w:color w:val="auto"/>
          <w:sz w:val="32"/>
          <w:szCs w:val="32"/>
        </w:rPr>
      </w:pPr>
      <w:r>
        <w:rPr>
          <w:rFonts w:hint="eastAsia" w:ascii="楷体_GB2312" w:eastAsia="楷体_GB2312"/>
          <w:color w:val="auto"/>
          <w:sz w:val="32"/>
          <w:szCs w:val="32"/>
        </w:rPr>
        <w:t>（五）绩效目标设置情况</w:t>
      </w:r>
    </w:p>
    <w:p>
      <w:pPr>
        <w:spacing w:line="580" w:lineRule="exact"/>
        <w:ind w:firstLine="600"/>
        <w:rPr>
          <w:rFonts w:hint="eastAsia" w:ascii="仿宋_GB2312" w:eastAsia="仿宋_GB2312"/>
          <w:color w:val="auto"/>
          <w:sz w:val="32"/>
          <w:szCs w:val="32"/>
        </w:rPr>
      </w:pPr>
      <w:r>
        <w:rPr>
          <w:rFonts w:hint="eastAsia" w:ascii="仿宋_GB2312" w:hAnsi="Calibri" w:eastAsia="仿宋_GB2312"/>
          <w:sz w:val="32"/>
          <w:szCs w:val="32"/>
        </w:rPr>
        <w:t>2019年</w:t>
      </w:r>
      <w:r>
        <w:rPr>
          <w:rFonts w:hint="eastAsia" w:ascii="仿宋_GB2312" w:eastAsia="仿宋_GB2312"/>
          <w:sz w:val="32"/>
          <w:szCs w:val="32"/>
          <w:lang w:eastAsia="zh-CN"/>
        </w:rPr>
        <w:t>曲阜市图书馆</w:t>
      </w:r>
      <w:r>
        <w:rPr>
          <w:rFonts w:hint="eastAsia" w:ascii="仿宋_GB2312" w:hAnsi="Calibri" w:eastAsia="仿宋_GB2312"/>
          <w:sz w:val="32"/>
          <w:szCs w:val="32"/>
        </w:rPr>
        <w:t>所有发展类项目和100万元以上业务类项目支出均设置了绩效目标，涉及财政拨款</w:t>
      </w:r>
      <w:r>
        <w:rPr>
          <w:rFonts w:hint="eastAsia" w:ascii="仿宋_GB2312" w:hAnsi="Calibri" w:eastAsia="仿宋_GB2312"/>
          <w:sz w:val="32"/>
          <w:szCs w:val="32"/>
          <w:lang w:val="en-US" w:eastAsia="zh-CN"/>
        </w:rPr>
        <w:t>2</w:t>
      </w:r>
      <w:r>
        <w:rPr>
          <w:rFonts w:hint="eastAsia" w:ascii="仿宋_GB2312" w:eastAsia="仿宋_GB2312"/>
          <w:sz w:val="32"/>
          <w:szCs w:val="32"/>
          <w:lang w:val="en-US" w:eastAsia="zh-CN"/>
        </w:rPr>
        <w:t>3</w:t>
      </w:r>
      <w:r>
        <w:rPr>
          <w:rFonts w:hint="eastAsia" w:ascii="仿宋_GB2312" w:hAnsi="Calibri" w:eastAsia="仿宋_GB2312"/>
          <w:sz w:val="32"/>
          <w:szCs w:val="32"/>
        </w:rPr>
        <w:t>万元。</w:t>
      </w:r>
    </w:p>
    <w:p>
      <w:pPr>
        <w:spacing w:line="580" w:lineRule="exact"/>
        <w:ind w:firstLine="600"/>
        <w:rPr>
          <w:rFonts w:hint="eastAsia" w:ascii="仿宋_GB2312" w:eastAsia="仿宋_GB2312"/>
          <w:color w:val="auto"/>
          <w:sz w:val="32"/>
          <w:szCs w:val="32"/>
        </w:rPr>
      </w:pPr>
    </w:p>
    <w:p>
      <w:pPr>
        <w:spacing w:line="580" w:lineRule="exact"/>
        <w:ind w:firstLine="600"/>
        <w:rPr>
          <w:rFonts w:hint="eastAsia" w:ascii="仿宋_GB2312" w:eastAsia="仿宋_GB2312"/>
          <w:color w:val="auto"/>
          <w:sz w:val="32"/>
          <w:szCs w:val="32"/>
        </w:rPr>
      </w:pPr>
    </w:p>
    <w:p>
      <w:pPr>
        <w:spacing w:line="580" w:lineRule="exact"/>
        <w:ind w:firstLine="600"/>
        <w:rPr>
          <w:rFonts w:hint="eastAsia" w:ascii="仿宋_GB2312" w:eastAsia="仿宋_GB2312"/>
          <w:color w:val="auto"/>
          <w:sz w:val="32"/>
          <w:szCs w:val="32"/>
        </w:rPr>
      </w:pPr>
    </w:p>
    <w:p>
      <w:pPr>
        <w:spacing w:line="580" w:lineRule="exact"/>
        <w:ind w:firstLine="600"/>
        <w:rPr>
          <w:rFonts w:hint="eastAsia" w:ascii="仿宋_GB2312" w:eastAsia="仿宋_GB2312"/>
          <w:color w:val="auto"/>
          <w:sz w:val="32"/>
          <w:szCs w:val="32"/>
        </w:rPr>
      </w:pPr>
    </w:p>
    <w:p>
      <w:pPr>
        <w:spacing w:line="580" w:lineRule="exact"/>
        <w:ind w:firstLine="600"/>
        <w:rPr>
          <w:rFonts w:hint="eastAsia" w:ascii="仿宋_GB2312" w:eastAsia="仿宋_GB2312"/>
          <w:color w:val="auto"/>
          <w:sz w:val="32"/>
          <w:szCs w:val="32"/>
        </w:rPr>
      </w:pPr>
    </w:p>
    <w:p>
      <w:pPr>
        <w:spacing w:line="580" w:lineRule="exact"/>
        <w:ind w:firstLine="600"/>
        <w:rPr>
          <w:rFonts w:hint="eastAsia" w:ascii="仿宋_GB2312" w:eastAsia="仿宋_GB2312"/>
          <w:color w:val="auto"/>
          <w:sz w:val="32"/>
          <w:szCs w:val="32"/>
        </w:rPr>
      </w:pPr>
    </w:p>
    <w:p>
      <w:pPr>
        <w:spacing w:line="580" w:lineRule="exact"/>
        <w:ind w:firstLine="600"/>
        <w:rPr>
          <w:rFonts w:hint="eastAsia" w:ascii="仿宋_GB2312" w:eastAsia="仿宋_GB2312"/>
          <w:color w:val="auto"/>
          <w:sz w:val="32"/>
          <w:szCs w:val="32"/>
        </w:rPr>
      </w:pPr>
    </w:p>
    <w:p>
      <w:pPr>
        <w:spacing w:line="580" w:lineRule="exact"/>
        <w:ind w:firstLine="600"/>
        <w:rPr>
          <w:rFonts w:hint="eastAsia" w:ascii="仿宋_GB2312" w:eastAsia="仿宋_GB2312"/>
          <w:color w:val="auto"/>
          <w:sz w:val="32"/>
          <w:szCs w:val="32"/>
        </w:rPr>
      </w:pPr>
    </w:p>
    <w:p>
      <w:pPr>
        <w:spacing w:line="580" w:lineRule="exact"/>
        <w:ind w:firstLine="600"/>
        <w:rPr>
          <w:rFonts w:hint="eastAsia" w:ascii="仿宋_GB2312" w:eastAsia="仿宋_GB2312"/>
          <w:color w:val="auto"/>
          <w:sz w:val="32"/>
          <w:szCs w:val="32"/>
        </w:rPr>
      </w:pPr>
    </w:p>
    <w:p>
      <w:pPr>
        <w:spacing w:line="580" w:lineRule="exact"/>
        <w:ind w:firstLine="600"/>
        <w:rPr>
          <w:rFonts w:hint="eastAsia" w:ascii="仿宋_GB2312" w:eastAsia="仿宋_GB2312"/>
          <w:color w:val="auto"/>
          <w:sz w:val="32"/>
          <w:szCs w:val="32"/>
        </w:rPr>
      </w:pPr>
    </w:p>
    <w:p>
      <w:pPr>
        <w:spacing w:line="580" w:lineRule="exact"/>
        <w:ind w:firstLine="600"/>
        <w:rPr>
          <w:rFonts w:hint="eastAsia" w:ascii="仿宋_GB2312" w:eastAsia="仿宋_GB2312"/>
          <w:color w:val="auto"/>
          <w:sz w:val="32"/>
          <w:szCs w:val="32"/>
        </w:rPr>
      </w:pPr>
    </w:p>
    <w:p>
      <w:pPr>
        <w:spacing w:line="580" w:lineRule="exact"/>
        <w:ind w:firstLine="600"/>
        <w:rPr>
          <w:rFonts w:hint="eastAsia" w:ascii="仿宋_GB2312" w:eastAsia="仿宋_GB2312"/>
          <w:color w:val="auto"/>
          <w:sz w:val="32"/>
          <w:szCs w:val="32"/>
        </w:rPr>
      </w:pPr>
    </w:p>
    <w:p>
      <w:pPr>
        <w:spacing w:line="580" w:lineRule="exact"/>
        <w:ind w:firstLine="600"/>
        <w:rPr>
          <w:rFonts w:hint="eastAsia" w:ascii="仿宋_GB2312" w:eastAsia="仿宋_GB2312"/>
          <w:color w:val="auto"/>
          <w:sz w:val="32"/>
          <w:szCs w:val="32"/>
        </w:rPr>
      </w:pPr>
    </w:p>
    <w:p>
      <w:pPr>
        <w:spacing w:line="580" w:lineRule="exact"/>
        <w:ind w:firstLine="600"/>
        <w:rPr>
          <w:rFonts w:hint="eastAsia" w:ascii="仿宋_GB2312" w:eastAsia="仿宋_GB2312"/>
          <w:color w:val="auto"/>
          <w:sz w:val="32"/>
          <w:szCs w:val="32"/>
        </w:rPr>
      </w:pPr>
    </w:p>
    <w:p>
      <w:pPr>
        <w:spacing w:line="580" w:lineRule="exact"/>
        <w:ind w:firstLine="600"/>
        <w:rPr>
          <w:rFonts w:hint="eastAsia" w:ascii="仿宋_GB2312" w:eastAsia="仿宋_GB2312"/>
          <w:color w:val="auto"/>
          <w:sz w:val="32"/>
          <w:szCs w:val="32"/>
        </w:rPr>
      </w:pPr>
    </w:p>
    <w:tbl>
      <w:tblPr>
        <w:tblStyle w:val="3"/>
        <w:tblpPr w:leftFromText="180" w:rightFromText="180" w:vertAnchor="text" w:horzAnchor="page" w:tblpX="1040" w:tblpY="336"/>
        <w:tblOverlap w:val="never"/>
        <w:tblW w:w="9620" w:type="dxa"/>
        <w:tblInd w:w="0" w:type="dxa"/>
        <w:tblLayout w:type="fixed"/>
        <w:tblCellMar>
          <w:top w:w="0" w:type="dxa"/>
          <w:left w:w="108" w:type="dxa"/>
          <w:bottom w:w="0" w:type="dxa"/>
          <w:right w:w="108" w:type="dxa"/>
        </w:tblCellMar>
      </w:tblPr>
      <w:tblGrid>
        <w:gridCol w:w="1719"/>
        <w:gridCol w:w="1118"/>
        <w:gridCol w:w="23"/>
        <w:gridCol w:w="1307"/>
        <w:gridCol w:w="1152"/>
        <w:gridCol w:w="856"/>
        <w:gridCol w:w="1331"/>
        <w:gridCol w:w="1300"/>
        <w:gridCol w:w="814"/>
      </w:tblGrid>
      <w:tr>
        <w:tblPrEx>
          <w:tblCellMar>
            <w:top w:w="0" w:type="dxa"/>
            <w:left w:w="108" w:type="dxa"/>
            <w:bottom w:w="0" w:type="dxa"/>
            <w:right w:w="108" w:type="dxa"/>
          </w:tblCellMar>
        </w:tblPrEx>
        <w:trPr>
          <w:trHeight w:val="576" w:hRule="atLeast"/>
        </w:trPr>
        <w:tc>
          <w:tcPr>
            <w:tcW w:w="9620" w:type="dxa"/>
            <w:gridSpan w:val="9"/>
            <w:tcBorders>
              <w:top w:val="nil"/>
              <w:left w:val="nil"/>
              <w:bottom w:val="single" w:color="000000" w:sz="4" w:space="0"/>
              <w:right w:val="nil"/>
            </w:tcBorders>
            <w:vAlign w:val="center"/>
          </w:tcPr>
          <w:p>
            <w:pPr>
              <w:widowControl/>
              <w:jc w:val="center"/>
              <w:rPr>
                <w:rFonts w:ascii="方正小标宋简体" w:eastAsia="方正小标宋简体"/>
                <w:kern w:val="0"/>
                <w:sz w:val="40"/>
                <w:szCs w:val="40"/>
              </w:rPr>
            </w:pPr>
            <w:r>
              <w:rPr>
                <w:rFonts w:hint="eastAsia" w:ascii="方正小标宋简体" w:eastAsia="方正小标宋简体"/>
                <w:kern w:val="0"/>
                <w:sz w:val="40"/>
                <w:szCs w:val="40"/>
              </w:rPr>
              <w:t>2019年预算项目支出绩效目标表</w:t>
            </w:r>
          </w:p>
        </w:tc>
      </w:tr>
      <w:tr>
        <w:tblPrEx>
          <w:tblCellMar>
            <w:top w:w="0" w:type="dxa"/>
            <w:left w:w="108" w:type="dxa"/>
            <w:bottom w:w="0" w:type="dxa"/>
            <w:right w:w="108" w:type="dxa"/>
          </w:tblCellMar>
        </w:tblPrEx>
        <w:trPr>
          <w:cantSplit/>
          <w:trHeight w:val="299" w:hRule="atLeast"/>
        </w:trPr>
        <w:tc>
          <w:tcPr>
            <w:tcW w:w="1719" w:type="dxa"/>
            <w:tcBorders>
              <w:top w:val="nil"/>
              <w:left w:val="single" w:color="000000"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7901" w:type="dxa"/>
            <w:gridSpan w:val="8"/>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olor w:val="000000"/>
                <w:kern w:val="0"/>
                <w:sz w:val="20"/>
                <w:szCs w:val="20"/>
                <w:lang w:eastAsia="zh-CN"/>
              </w:rPr>
            </w:pPr>
            <w:r>
              <w:rPr>
                <w:rFonts w:hint="eastAsia" w:ascii="宋体" w:hAnsi="宋体"/>
                <w:color w:val="000000"/>
                <w:kern w:val="0"/>
                <w:sz w:val="20"/>
                <w:szCs w:val="20"/>
                <w:lang w:eastAsia="zh-CN"/>
              </w:rPr>
              <w:t>免费开放资金</w:t>
            </w:r>
          </w:p>
        </w:tc>
      </w:tr>
      <w:tr>
        <w:tblPrEx>
          <w:tblCellMar>
            <w:top w:w="0" w:type="dxa"/>
            <w:left w:w="108" w:type="dxa"/>
            <w:bottom w:w="0" w:type="dxa"/>
            <w:right w:w="108" w:type="dxa"/>
          </w:tblCellMar>
        </w:tblPrEx>
        <w:trPr>
          <w:cantSplit/>
          <w:trHeight w:val="299" w:hRule="atLeast"/>
        </w:trPr>
        <w:tc>
          <w:tcPr>
            <w:tcW w:w="1719" w:type="dxa"/>
            <w:tcBorders>
              <w:top w:val="nil"/>
              <w:left w:val="single" w:color="000000"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主管部门</w:t>
            </w:r>
          </w:p>
        </w:tc>
        <w:tc>
          <w:tcPr>
            <w:tcW w:w="7901" w:type="dxa"/>
            <w:gridSpan w:val="8"/>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kern w:val="0"/>
                <w:sz w:val="20"/>
                <w:szCs w:val="20"/>
                <w:lang w:eastAsia="zh-CN"/>
              </w:rPr>
            </w:pPr>
            <w:r>
              <w:rPr>
                <w:rFonts w:hint="eastAsia" w:ascii="宋体" w:hAnsi="宋体"/>
                <w:kern w:val="0"/>
                <w:sz w:val="20"/>
                <w:szCs w:val="20"/>
              </w:rPr>
              <w:t>　</w:t>
            </w:r>
            <w:r>
              <w:rPr>
                <w:rFonts w:hint="eastAsia" w:ascii="宋体" w:hAnsi="宋体"/>
                <w:kern w:val="0"/>
                <w:sz w:val="20"/>
                <w:szCs w:val="20"/>
                <w:lang w:eastAsia="zh-CN"/>
              </w:rPr>
              <w:t>曲阜市文化和旅游局</w:t>
            </w:r>
          </w:p>
        </w:tc>
      </w:tr>
      <w:tr>
        <w:tblPrEx>
          <w:tblCellMar>
            <w:top w:w="0" w:type="dxa"/>
            <w:left w:w="108" w:type="dxa"/>
            <w:bottom w:w="0" w:type="dxa"/>
            <w:right w:w="108" w:type="dxa"/>
          </w:tblCellMar>
        </w:tblPrEx>
        <w:trPr>
          <w:cantSplit/>
          <w:trHeight w:val="587" w:hRule="atLeast"/>
        </w:trPr>
        <w:tc>
          <w:tcPr>
            <w:tcW w:w="1719" w:type="dxa"/>
            <w:tcBorders>
              <w:top w:val="nil"/>
              <w:left w:val="single" w:color="000000"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资金情况</w:t>
            </w:r>
          </w:p>
        </w:tc>
        <w:tc>
          <w:tcPr>
            <w:tcW w:w="1118" w:type="dxa"/>
            <w:tcBorders>
              <w:top w:val="nil"/>
              <w:left w:val="nil"/>
              <w:bottom w:val="single" w:color="000000" w:sz="4" w:space="0"/>
              <w:right w:val="single" w:color="000000" w:sz="4" w:space="0"/>
            </w:tcBorders>
            <w:vAlign w:val="center"/>
          </w:tcPr>
          <w:p>
            <w:pPr>
              <w:widowControl/>
              <w:jc w:val="left"/>
              <w:rPr>
                <w:rFonts w:ascii="宋体" w:hAnsi="宋体"/>
                <w:kern w:val="0"/>
                <w:sz w:val="20"/>
                <w:szCs w:val="20"/>
              </w:rPr>
            </w:pPr>
            <w:r>
              <w:rPr>
                <w:rFonts w:hint="eastAsia" w:ascii="宋体" w:hAnsi="宋体"/>
                <w:kern w:val="0"/>
                <w:sz w:val="20"/>
                <w:szCs w:val="20"/>
              </w:rPr>
              <w:t>财政拨款年度金额：</w:t>
            </w:r>
          </w:p>
        </w:tc>
        <w:tc>
          <w:tcPr>
            <w:tcW w:w="6783" w:type="dxa"/>
            <w:gridSpan w:val="7"/>
            <w:tcBorders>
              <w:top w:val="single" w:color="000000" w:sz="4" w:space="0"/>
              <w:left w:val="nil"/>
              <w:bottom w:val="single" w:color="000000" w:sz="4" w:space="0"/>
              <w:right w:val="single" w:color="000000" w:sz="4" w:space="0"/>
            </w:tcBorders>
            <w:vAlign w:val="center"/>
          </w:tcPr>
          <w:p>
            <w:pPr>
              <w:widowControl/>
              <w:jc w:val="left"/>
              <w:rPr>
                <w:rFonts w:ascii="宋体" w:hAnsi="宋体"/>
                <w:kern w:val="0"/>
                <w:sz w:val="20"/>
                <w:szCs w:val="20"/>
              </w:rPr>
            </w:pPr>
            <w:r>
              <w:rPr>
                <w:rFonts w:hint="eastAsia" w:ascii="宋体" w:hAnsi="宋体"/>
                <w:kern w:val="0"/>
                <w:sz w:val="20"/>
                <w:szCs w:val="20"/>
              </w:rPr>
              <w:t xml:space="preserve"> </w:t>
            </w:r>
            <w:r>
              <w:rPr>
                <w:rFonts w:hint="eastAsia" w:ascii="宋体" w:hAnsi="宋体"/>
                <w:kern w:val="0"/>
                <w:sz w:val="20"/>
                <w:szCs w:val="20"/>
                <w:lang w:val="en-US" w:eastAsia="zh-CN"/>
              </w:rPr>
              <w:t>20</w:t>
            </w:r>
            <w:r>
              <w:rPr>
                <w:rFonts w:hint="eastAsia" w:ascii="宋体" w:hAnsi="宋体"/>
                <w:kern w:val="0"/>
                <w:sz w:val="20"/>
                <w:szCs w:val="20"/>
              </w:rPr>
              <w:t>万元</w:t>
            </w:r>
          </w:p>
        </w:tc>
      </w:tr>
      <w:tr>
        <w:tblPrEx>
          <w:tblCellMar>
            <w:top w:w="0" w:type="dxa"/>
            <w:left w:w="108" w:type="dxa"/>
            <w:bottom w:w="0" w:type="dxa"/>
            <w:right w:w="108" w:type="dxa"/>
          </w:tblCellMar>
        </w:tblPrEx>
        <w:trPr>
          <w:trHeight w:val="299" w:hRule="atLeast"/>
        </w:trPr>
        <w:tc>
          <w:tcPr>
            <w:tcW w:w="1719" w:type="dxa"/>
            <w:vMerge w:val="restart"/>
            <w:tcBorders>
              <w:top w:val="nil"/>
              <w:left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总体目标</w:t>
            </w:r>
          </w:p>
        </w:tc>
        <w:tc>
          <w:tcPr>
            <w:tcW w:w="4456"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b/>
                <w:bCs/>
                <w:kern w:val="0"/>
                <w:sz w:val="20"/>
                <w:szCs w:val="20"/>
              </w:rPr>
            </w:pPr>
            <w:r>
              <w:rPr>
                <w:rFonts w:hint="eastAsia" w:ascii="宋体" w:hAnsi="宋体"/>
                <w:b/>
                <w:bCs/>
                <w:kern w:val="0"/>
                <w:sz w:val="20"/>
                <w:szCs w:val="20"/>
              </w:rPr>
              <w:t>长期目标（×年-×年)</w:t>
            </w:r>
          </w:p>
        </w:tc>
        <w:tc>
          <w:tcPr>
            <w:tcW w:w="3445"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b/>
                <w:bCs/>
                <w:kern w:val="0"/>
                <w:sz w:val="20"/>
                <w:szCs w:val="20"/>
              </w:rPr>
            </w:pPr>
            <w:r>
              <w:rPr>
                <w:rFonts w:hint="eastAsia" w:ascii="宋体" w:hAnsi="宋体"/>
                <w:b/>
                <w:bCs/>
                <w:kern w:val="0"/>
                <w:sz w:val="20"/>
                <w:szCs w:val="20"/>
              </w:rPr>
              <w:t>年度目标（2019年）</w:t>
            </w:r>
          </w:p>
        </w:tc>
      </w:tr>
      <w:tr>
        <w:tblPrEx>
          <w:tblCellMar>
            <w:top w:w="0" w:type="dxa"/>
            <w:left w:w="108" w:type="dxa"/>
            <w:bottom w:w="0" w:type="dxa"/>
            <w:right w:w="108" w:type="dxa"/>
          </w:tblCellMar>
        </w:tblPrEx>
        <w:trPr>
          <w:trHeight w:val="1165" w:hRule="atLeast"/>
        </w:trPr>
        <w:tc>
          <w:tcPr>
            <w:tcW w:w="1719"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kern w:val="0"/>
                <w:sz w:val="20"/>
                <w:szCs w:val="20"/>
              </w:rPr>
            </w:pPr>
          </w:p>
        </w:tc>
        <w:tc>
          <w:tcPr>
            <w:tcW w:w="4456"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hAnsi="宋体"/>
                <w:color w:val="000000"/>
                <w:kern w:val="0"/>
                <w:sz w:val="20"/>
                <w:szCs w:val="20"/>
              </w:rPr>
            </w:pPr>
            <w:r>
              <w:rPr>
                <w:rFonts w:hint="eastAsia" w:ascii="宋体" w:hAnsi="宋体"/>
                <w:color w:val="000000"/>
                <w:kern w:val="0"/>
                <w:sz w:val="20"/>
                <w:szCs w:val="20"/>
              </w:rPr>
              <w:t>　全年服务市民人次、增加新读者、持证读者占有比、图书外借册次、举办读者活动及图书资源利用效率都得到提升。</w:t>
            </w:r>
          </w:p>
        </w:tc>
        <w:tc>
          <w:tcPr>
            <w:tcW w:w="3445"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kern w:val="0"/>
                <w:sz w:val="20"/>
                <w:szCs w:val="20"/>
              </w:rPr>
            </w:pPr>
            <w:r>
              <w:rPr>
                <w:rFonts w:hint="eastAsia" w:ascii="宋体" w:hAnsi="宋体"/>
                <w:kern w:val="0"/>
                <w:sz w:val="20"/>
                <w:szCs w:val="20"/>
              </w:rPr>
              <w:t>　全年服务市民数量</w:t>
            </w:r>
            <w:r>
              <w:rPr>
                <w:rFonts w:hint="eastAsia" w:ascii="宋体" w:hAnsi="宋体"/>
                <w:kern w:val="0"/>
                <w:sz w:val="20"/>
                <w:szCs w:val="20"/>
                <w:lang w:val="en-US" w:eastAsia="zh-CN"/>
              </w:rPr>
              <w:t>3</w:t>
            </w:r>
            <w:r>
              <w:rPr>
                <w:rFonts w:hint="eastAsia" w:ascii="宋体" w:hAnsi="宋体"/>
                <w:kern w:val="0"/>
                <w:sz w:val="20"/>
                <w:szCs w:val="20"/>
              </w:rPr>
              <w:t>.1万人次,增加新读者</w:t>
            </w:r>
            <w:r>
              <w:rPr>
                <w:rFonts w:hint="eastAsia" w:ascii="宋体" w:hAnsi="宋体"/>
                <w:kern w:val="0"/>
                <w:sz w:val="20"/>
                <w:szCs w:val="20"/>
                <w:lang w:val="en-US" w:eastAsia="zh-CN"/>
              </w:rPr>
              <w:t>100</w:t>
            </w:r>
            <w:r>
              <w:rPr>
                <w:rFonts w:hint="eastAsia" w:ascii="宋体" w:hAnsi="宋体"/>
                <w:kern w:val="0"/>
                <w:sz w:val="20"/>
                <w:szCs w:val="20"/>
              </w:rPr>
              <w:t>名,持证读者总量达到1.</w:t>
            </w:r>
            <w:r>
              <w:rPr>
                <w:rFonts w:hint="eastAsia" w:ascii="宋体" w:hAnsi="宋体"/>
                <w:kern w:val="0"/>
                <w:sz w:val="20"/>
                <w:szCs w:val="20"/>
                <w:lang w:val="en-US" w:eastAsia="zh-CN"/>
              </w:rPr>
              <w:t>3</w:t>
            </w:r>
            <w:r>
              <w:rPr>
                <w:rFonts w:hint="eastAsia" w:ascii="宋体" w:hAnsi="宋体"/>
                <w:kern w:val="0"/>
                <w:sz w:val="20"/>
                <w:szCs w:val="20"/>
              </w:rPr>
              <w:t>万人,图书外借</w:t>
            </w:r>
            <w:r>
              <w:rPr>
                <w:rFonts w:hint="eastAsia" w:ascii="宋体" w:hAnsi="宋体"/>
                <w:kern w:val="0"/>
                <w:sz w:val="20"/>
                <w:szCs w:val="20"/>
                <w:lang w:val="en-US" w:eastAsia="zh-CN"/>
              </w:rPr>
              <w:t>3</w:t>
            </w:r>
            <w:r>
              <w:rPr>
                <w:rFonts w:hint="eastAsia" w:ascii="宋体" w:hAnsi="宋体"/>
                <w:kern w:val="0"/>
                <w:sz w:val="20"/>
                <w:szCs w:val="20"/>
              </w:rPr>
              <w:t>万册次,举办读者活动</w:t>
            </w:r>
            <w:r>
              <w:rPr>
                <w:rFonts w:hint="eastAsia" w:ascii="宋体" w:hAnsi="宋体"/>
                <w:kern w:val="0"/>
                <w:sz w:val="20"/>
                <w:szCs w:val="20"/>
                <w:lang w:val="en-US" w:eastAsia="zh-CN"/>
              </w:rPr>
              <w:t>10</w:t>
            </w:r>
            <w:r>
              <w:rPr>
                <w:rFonts w:hint="eastAsia" w:ascii="宋体" w:hAnsi="宋体"/>
                <w:kern w:val="0"/>
                <w:sz w:val="20"/>
                <w:szCs w:val="20"/>
              </w:rPr>
              <w:t>次，提升图书资源流转效率。</w:t>
            </w:r>
          </w:p>
        </w:tc>
      </w:tr>
      <w:tr>
        <w:tblPrEx>
          <w:tblCellMar>
            <w:top w:w="0" w:type="dxa"/>
            <w:left w:w="108" w:type="dxa"/>
            <w:bottom w:w="0" w:type="dxa"/>
            <w:right w:w="108" w:type="dxa"/>
          </w:tblCellMar>
        </w:tblPrEx>
        <w:trPr>
          <w:trHeight w:val="299" w:hRule="atLeast"/>
        </w:trPr>
        <w:tc>
          <w:tcPr>
            <w:tcW w:w="1719" w:type="dxa"/>
            <w:tcBorders>
              <w:top w:val="nil"/>
              <w:left w:val="single" w:color="000000" w:sz="4" w:space="0"/>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绩效指标</w:t>
            </w:r>
          </w:p>
        </w:tc>
        <w:tc>
          <w:tcPr>
            <w:tcW w:w="1141" w:type="dxa"/>
            <w:gridSpan w:val="2"/>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一级指标</w:t>
            </w:r>
          </w:p>
        </w:tc>
        <w:tc>
          <w:tcPr>
            <w:tcW w:w="1307"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二级指标</w:t>
            </w:r>
          </w:p>
        </w:tc>
        <w:tc>
          <w:tcPr>
            <w:tcW w:w="1152"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三级指标</w:t>
            </w:r>
          </w:p>
        </w:tc>
        <w:tc>
          <w:tcPr>
            <w:tcW w:w="856"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指标值</w:t>
            </w:r>
          </w:p>
        </w:tc>
        <w:tc>
          <w:tcPr>
            <w:tcW w:w="1331"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二级指标</w:t>
            </w:r>
          </w:p>
        </w:tc>
        <w:tc>
          <w:tcPr>
            <w:tcW w:w="1300"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三级指标</w:t>
            </w:r>
          </w:p>
        </w:tc>
        <w:tc>
          <w:tcPr>
            <w:tcW w:w="814"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指标值</w:t>
            </w:r>
          </w:p>
        </w:tc>
      </w:tr>
      <w:tr>
        <w:tblPrEx>
          <w:tblCellMar>
            <w:top w:w="0" w:type="dxa"/>
            <w:left w:w="108" w:type="dxa"/>
            <w:bottom w:w="0" w:type="dxa"/>
            <w:right w:w="108" w:type="dxa"/>
          </w:tblCellMar>
        </w:tblPrEx>
        <w:trPr>
          <w:trHeight w:val="1397" w:hRule="atLeast"/>
        </w:trPr>
        <w:tc>
          <w:tcPr>
            <w:tcW w:w="1719"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firstLineChars="200"/>
              <w:rPr>
                <w:rFonts w:ascii="宋体" w:hAnsi="宋体"/>
                <w:kern w:val="0"/>
                <w:sz w:val="20"/>
                <w:szCs w:val="20"/>
              </w:rPr>
            </w:pPr>
            <w:r>
              <w:rPr>
                <w:rFonts w:hint="eastAsia" w:ascii="宋体" w:hAnsi="宋体"/>
                <w:kern w:val="0"/>
                <w:sz w:val="20"/>
                <w:szCs w:val="20"/>
              </w:rPr>
              <w:t>绩效指标</w:t>
            </w:r>
          </w:p>
        </w:tc>
        <w:tc>
          <w:tcPr>
            <w:tcW w:w="11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rPr>
              <w:t>产出指标</w:t>
            </w:r>
          </w:p>
        </w:tc>
        <w:tc>
          <w:tcPr>
            <w:tcW w:w="1307" w:type="dxa"/>
            <w:tcBorders>
              <w:top w:val="nil"/>
              <w:left w:val="single" w:color="auto"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数量指标</w:t>
            </w:r>
          </w:p>
        </w:tc>
        <w:tc>
          <w:tcPr>
            <w:tcW w:w="115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全年服务读者数量增加</w:t>
            </w:r>
          </w:p>
        </w:tc>
        <w:tc>
          <w:tcPr>
            <w:tcW w:w="85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kern w:val="0"/>
                <w:sz w:val="20"/>
                <w:szCs w:val="20"/>
              </w:rPr>
            </w:pPr>
            <w:r>
              <w:rPr>
                <w:rFonts w:hint="eastAsia" w:ascii="仿宋" w:hAnsi="仿宋" w:eastAsia="仿宋" w:cs="仿宋"/>
                <w:i w:val="0"/>
                <w:iCs w:val="0"/>
                <w:color w:val="000000"/>
                <w:kern w:val="0"/>
                <w:sz w:val="20"/>
                <w:szCs w:val="20"/>
                <w:u w:val="none"/>
                <w:lang w:val="en-US" w:eastAsia="zh-CN" w:bidi="ar"/>
              </w:rPr>
              <w:t>同比增长比例</w:t>
            </w:r>
          </w:p>
        </w:tc>
        <w:tc>
          <w:tcPr>
            <w:tcW w:w="1331"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数量指标</w:t>
            </w:r>
          </w:p>
        </w:tc>
        <w:tc>
          <w:tcPr>
            <w:tcW w:w="13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全年服务读者数量增加</w:t>
            </w:r>
          </w:p>
        </w:tc>
        <w:tc>
          <w:tcPr>
            <w:tcW w:w="81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3.1万人次</w:t>
            </w:r>
          </w:p>
        </w:tc>
      </w:tr>
      <w:tr>
        <w:tblPrEx>
          <w:tblCellMar>
            <w:top w:w="0" w:type="dxa"/>
            <w:left w:w="108" w:type="dxa"/>
            <w:bottom w:w="0" w:type="dxa"/>
            <w:right w:w="108" w:type="dxa"/>
          </w:tblCellMar>
        </w:tblPrEx>
        <w:trPr>
          <w:trHeight w:val="1050" w:hRule="atLeast"/>
        </w:trPr>
        <w:tc>
          <w:tcPr>
            <w:tcW w:w="1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1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307" w:type="dxa"/>
            <w:tcBorders>
              <w:top w:val="nil"/>
              <w:left w:val="single" w:color="auto"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数量指标</w:t>
            </w:r>
          </w:p>
        </w:tc>
        <w:tc>
          <w:tcPr>
            <w:tcW w:w="115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图书外借册次增加</w:t>
            </w:r>
          </w:p>
        </w:tc>
        <w:tc>
          <w:tcPr>
            <w:tcW w:w="85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kern w:val="0"/>
                <w:sz w:val="20"/>
                <w:szCs w:val="20"/>
              </w:rPr>
            </w:pPr>
            <w:r>
              <w:rPr>
                <w:rFonts w:hint="eastAsia" w:ascii="仿宋" w:hAnsi="仿宋" w:eastAsia="仿宋" w:cs="仿宋"/>
                <w:i w:val="0"/>
                <w:iCs w:val="0"/>
                <w:color w:val="000000"/>
                <w:kern w:val="0"/>
                <w:sz w:val="20"/>
                <w:szCs w:val="20"/>
                <w:u w:val="none"/>
                <w:lang w:val="en-US" w:eastAsia="zh-CN" w:bidi="ar"/>
              </w:rPr>
              <w:t>同比增长比例</w:t>
            </w:r>
          </w:p>
        </w:tc>
        <w:tc>
          <w:tcPr>
            <w:tcW w:w="1331"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数量指标</w:t>
            </w:r>
          </w:p>
        </w:tc>
        <w:tc>
          <w:tcPr>
            <w:tcW w:w="13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图书外借册次增加</w:t>
            </w:r>
          </w:p>
        </w:tc>
        <w:tc>
          <w:tcPr>
            <w:tcW w:w="81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3万册次</w:t>
            </w:r>
          </w:p>
        </w:tc>
      </w:tr>
      <w:tr>
        <w:tblPrEx>
          <w:tblCellMar>
            <w:top w:w="0" w:type="dxa"/>
            <w:left w:w="108" w:type="dxa"/>
            <w:bottom w:w="0" w:type="dxa"/>
            <w:right w:w="108" w:type="dxa"/>
          </w:tblCellMar>
        </w:tblPrEx>
        <w:trPr>
          <w:trHeight w:val="1397" w:hRule="atLeast"/>
        </w:trPr>
        <w:tc>
          <w:tcPr>
            <w:tcW w:w="1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1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307" w:type="dxa"/>
            <w:tcBorders>
              <w:top w:val="nil"/>
              <w:left w:val="single" w:color="auto"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数量指标</w:t>
            </w:r>
          </w:p>
        </w:tc>
        <w:tc>
          <w:tcPr>
            <w:tcW w:w="115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举办读者活动次数增加</w:t>
            </w:r>
          </w:p>
        </w:tc>
        <w:tc>
          <w:tcPr>
            <w:tcW w:w="85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kern w:val="0"/>
                <w:sz w:val="20"/>
                <w:szCs w:val="20"/>
              </w:rPr>
            </w:pPr>
            <w:r>
              <w:rPr>
                <w:rFonts w:hint="eastAsia" w:ascii="仿宋" w:hAnsi="仿宋" w:eastAsia="仿宋" w:cs="仿宋"/>
                <w:i w:val="0"/>
                <w:iCs w:val="0"/>
                <w:color w:val="000000"/>
                <w:kern w:val="0"/>
                <w:sz w:val="20"/>
                <w:szCs w:val="20"/>
                <w:u w:val="none"/>
                <w:lang w:val="en-US" w:eastAsia="zh-CN" w:bidi="ar"/>
              </w:rPr>
              <w:t>同比增长比例</w:t>
            </w:r>
          </w:p>
        </w:tc>
        <w:tc>
          <w:tcPr>
            <w:tcW w:w="1331"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数量指标</w:t>
            </w:r>
          </w:p>
        </w:tc>
        <w:tc>
          <w:tcPr>
            <w:tcW w:w="13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举办读者活动次数增加</w:t>
            </w:r>
          </w:p>
        </w:tc>
        <w:tc>
          <w:tcPr>
            <w:tcW w:w="81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10次</w:t>
            </w:r>
          </w:p>
        </w:tc>
      </w:tr>
      <w:tr>
        <w:tblPrEx>
          <w:tblCellMar>
            <w:top w:w="0" w:type="dxa"/>
            <w:left w:w="108" w:type="dxa"/>
            <w:bottom w:w="0" w:type="dxa"/>
            <w:right w:w="108" w:type="dxa"/>
          </w:tblCellMar>
        </w:tblPrEx>
        <w:trPr>
          <w:trHeight w:val="357" w:hRule="atLeast"/>
        </w:trPr>
        <w:tc>
          <w:tcPr>
            <w:tcW w:w="1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1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307" w:type="dxa"/>
            <w:tcBorders>
              <w:top w:val="nil"/>
              <w:left w:val="single" w:color="auto"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lang w:eastAsia="zh-CN"/>
              </w:rPr>
              <w:t>成本</w:t>
            </w:r>
            <w:r>
              <w:rPr>
                <w:rFonts w:hint="eastAsia" w:ascii="宋体" w:hAnsi="宋体"/>
                <w:kern w:val="0"/>
                <w:sz w:val="20"/>
                <w:szCs w:val="20"/>
              </w:rPr>
              <w:t>指标</w:t>
            </w:r>
          </w:p>
        </w:tc>
        <w:tc>
          <w:tcPr>
            <w:tcW w:w="115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无</w:t>
            </w:r>
          </w:p>
        </w:tc>
        <w:tc>
          <w:tcPr>
            <w:tcW w:w="85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无</w:t>
            </w:r>
          </w:p>
        </w:tc>
        <w:tc>
          <w:tcPr>
            <w:tcW w:w="1331"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lang w:eastAsia="zh-CN"/>
              </w:rPr>
              <w:t>成本</w:t>
            </w:r>
            <w:r>
              <w:rPr>
                <w:rFonts w:hint="eastAsia" w:ascii="宋体" w:hAnsi="宋体"/>
                <w:kern w:val="0"/>
                <w:sz w:val="20"/>
                <w:szCs w:val="20"/>
              </w:rPr>
              <w:t>指标</w:t>
            </w:r>
          </w:p>
        </w:tc>
        <w:tc>
          <w:tcPr>
            <w:tcW w:w="13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无</w:t>
            </w:r>
          </w:p>
        </w:tc>
        <w:tc>
          <w:tcPr>
            <w:tcW w:w="81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无</w:t>
            </w:r>
          </w:p>
        </w:tc>
      </w:tr>
      <w:tr>
        <w:tblPrEx>
          <w:tblCellMar>
            <w:top w:w="0" w:type="dxa"/>
            <w:left w:w="108" w:type="dxa"/>
            <w:bottom w:w="0" w:type="dxa"/>
            <w:right w:w="108" w:type="dxa"/>
          </w:tblCellMar>
        </w:tblPrEx>
        <w:trPr>
          <w:trHeight w:val="357" w:hRule="atLeast"/>
        </w:trPr>
        <w:tc>
          <w:tcPr>
            <w:tcW w:w="1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1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rPr>
              <w:t>效益指标</w:t>
            </w:r>
          </w:p>
        </w:tc>
        <w:tc>
          <w:tcPr>
            <w:tcW w:w="1307" w:type="dxa"/>
            <w:tcBorders>
              <w:top w:val="nil"/>
              <w:left w:val="single" w:color="auto"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生态效益</w:t>
            </w:r>
          </w:p>
        </w:tc>
        <w:tc>
          <w:tcPr>
            <w:tcW w:w="115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无</w:t>
            </w:r>
          </w:p>
        </w:tc>
        <w:tc>
          <w:tcPr>
            <w:tcW w:w="85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无</w:t>
            </w:r>
          </w:p>
        </w:tc>
        <w:tc>
          <w:tcPr>
            <w:tcW w:w="1331"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生态效益</w:t>
            </w:r>
          </w:p>
        </w:tc>
        <w:tc>
          <w:tcPr>
            <w:tcW w:w="13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无</w:t>
            </w:r>
          </w:p>
        </w:tc>
        <w:tc>
          <w:tcPr>
            <w:tcW w:w="814"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299" w:hRule="atLeast"/>
        </w:trPr>
        <w:tc>
          <w:tcPr>
            <w:tcW w:w="1719" w:type="dxa"/>
            <w:vMerge w:val="continue"/>
            <w:tcBorders>
              <w:top w:val="single" w:color="auto" w:sz="4" w:space="0"/>
              <w:left w:val="single" w:color="000000" w:sz="4" w:space="0"/>
              <w:right w:val="single" w:color="000000" w:sz="4" w:space="0"/>
            </w:tcBorders>
            <w:vAlign w:val="center"/>
          </w:tcPr>
          <w:p>
            <w:pPr>
              <w:widowControl/>
              <w:jc w:val="left"/>
              <w:rPr>
                <w:rFonts w:ascii="宋体" w:hAnsi="宋体"/>
                <w:kern w:val="0"/>
                <w:sz w:val="20"/>
                <w:szCs w:val="20"/>
              </w:rPr>
            </w:pPr>
          </w:p>
        </w:tc>
        <w:tc>
          <w:tcPr>
            <w:tcW w:w="1141" w:type="dxa"/>
            <w:gridSpan w:val="2"/>
            <w:vMerge w:val="continue"/>
            <w:tcBorders>
              <w:top w:val="single" w:color="auto" w:sz="4" w:space="0"/>
              <w:left w:val="nil"/>
              <w:right w:val="single" w:color="000000" w:sz="4" w:space="0"/>
            </w:tcBorders>
            <w:vAlign w:val="center"/>
          </w:tcPr>
          <w:p>
            <w:pPr>
              <w:widowControl/>
              <w:jc w:val="left"/>
              <w:rPr>
                <w:rFonts w:ascii="宋体" w:hAnsi="宋体"/>
                <w:kern w:val="0"/>
                <w:sz w:val="20"/>
                <w:szCs w:val="20"/>
              </w:rPr>
            </w:pPr>
          </w:p>
        </w:tc>
        <w:tc>
          <w:tcPr>
            <w:tcW w:w="1307"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经济效益</w:t>
            </w:r>
          </w:p>
        </w:tc>
        <w:tc>
          <w:tcPr>
            <w:tcW w:w="115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kern w:val="0"/>
                <w:sz w:val="20"/>
                <w:szCs w:val="20"/>
                <w:lang w:eastAsia="zh-CN"/>
              </w:rPr>
            </w:pPr>
            <w:r>
              <w:rPr>
                <w:rFonts w:hint="eastAsia" w:ascii="宋体" w:hAnsi="宋体"/>
                <w:kern w:val="0"/>
                <w:sz w:val="20"/>
                <w:szCs w:val="20"/>
                <w:lang w:eastAsia="zh-CN"/>
              </w:rPr>
              <w:t>无</w:t>
            </w:r>
          </w:p>
        </w:tc>
        <w:tc>
          <w:tcPr>
            <w:tcW w:w="85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无</w:t>
            </w:r>
          </w:p>
        </w:tc>
        <w:tc>
          <w:tcPr>
            <w:tcW w:w="1331"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经济效益</w:t>
            </w:r>
          </w:p>
        </w:tc>
        <w:tc>
          <w:tcPr>
            <w:tcW w:w="13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无</w:t>
            </w:r>
          </w:p>
        </w:tc>
        <w:tc>
          <w:tcPr>
            <w:tcW w:w="814"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1050" w:hRule="atLeast"/>
        </w:trPr>
        <w:tc>
          <w:tcPr>
            <w:tcW w:w="1719" w:type="dxa"/>
            <w:vMerge w:val="continue"/>
            <w:tcBorders>
              <w:left w:val="single" w:color="000000" w:sz="4" w:space="0"/>
              <w:right w:val="single" w:color="000000" w:sz="4" w:space="0"/>
            </w:tcBorders>
            <w:vAlign w:val="center"/>
          </w:tcPr>
          <w:p>
            <w:pPr>
              <w:widowControl/>
              <w:jc w:val="left"/>
              <w:rPr>
                <w:rFonts w:ascii="宋体" w:hAnsi="宋体"/>
                <w:kern w:val="0"/>
                <w:sz w:val="20"/>
                <w:szCs w:val="20"/>
              </w:rPr>
            </w:pPr>
          </w:p>
        </w:tc>
        <w:tc>
          <w:tcPr>
            <w:tcW w:w="1141" w:type="dxa"/>
            <w:gridSpan w:val="2"/>
            <w:vMerge w:val="continue"/>
            <w:tcBorders>
              <w:left w:val="nil"/>
              <w:right w:val="single" w:color="000000" w:sz="4" w:space="0"/>
            </w:tcBorders>
            <w:vAlign w:val="center"/>
          </w:tcPr>
          <w:p>
            <w:pPr>
              <w:widowControl/>
              <w:jc w:val="left"/>
              <w:rPr>
                <w:rFonts w:ascii="宋体" w:hAnsi="宋体"/>
                <w:kern w:val="0"/>
                <w:sz w:val="20"/>
                <w:szCs w:val="20"/>
              </w:rPr>
            </w:pPr>
          </w:p>
        </w:tc>
        <w:tc>
          <w:tcPr>
            <w:tcW w:w="1307"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社会效益</w:t>
            </w:r>
          </w:p>
        </w:tc>
        <w:tc>
          <w:tcPr>
            <w:tcW w:w="115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满足群众文化需求</w:t>
            </w:r>
          </w:p>
        </w:tc>
        <w:tc>
          <w:tcPr>
            <w:tcW w:w="85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同比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提升</w:t>
            </w:r>
          </w:p>
        </w:tc>
        <w:tc>
          <w:tcPr>
            <w:tcW w:w="1331"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社会效益</w:t>
            </w:r>
          </w:p>
        </w:tc>
        <w:tc>
          <w:tcPr>
            <w:tcW w:w="13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同比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提升</w:t>
            </w:r>
          </w:p>
        </w:tc>
        <w:tc>
          <w:tcPr>
            <w:tcW w:w="814"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1397" w:hRule="atLeast"/>
        </w:trPr>
        <w:tc>
          <w:tcPr>
            <w:tcW w:w="1719" w:type="dxa"/>
            <w:vMerge w:val="continue"/>
            <w:tcBorders>
              <w:left w:val="single" w:color="000000" w:sz="4" w:space="0"/>
              <w:right w:val="single" w:color="000000" w:sz="4" w:space="0"/>
            </w:tcBorders>
            <w:vAlign w:val="center"/>
          </w:tcPr>
          <w:p>
            <w:pPr>
              <w:widowControl/>
              <w:jc w:val="left"/>
              <w:rPr>
                <w:rFonts w:ascii="宋体" w:hAnsi="宋体"/>
                <w:kern w:val="0"/>
                <w:sz w:val="20"/>
                <w:szCs w:val="20"/>
              </w:rPr>
            </w:pPr>
          </w:p>
        </w:tc>
        <w:tc>
          <w:tcPr>
            <w:tcW w:w="1141" w:type="dxa"/>
            <w:gridSpan w:val="2"/>
            <w:vMerge w:val="continue"/>
            <w:tcBorders>
              <w:left w:val="nil"/>
              <w:bottom w:val="single" w:color="000000" w:sz="4" w:space="0"/>
              <w:right w:val="single" w:color="000000" w:sz="4" w:space="0"/>
            </w:tcBorders>
            <w:vAlign w:val="center"/>
          </w:tcPr>
          <w:p>
            <w:pPr>
              <w:widowControl/>
              <w:jc w:val="left"/>
              <w:rPr>
                <w:rFonts w:ascii="宋体" w:hAnsi="宋体"/>
                <w:kern w:val="0"/>
                <w:sz w:val="20"/>
                <w:szCs w:val="20"/>
              </w:rPr>
            </w:pPr>
          </w:p>
        </w:tc>
        <w:tc>
          <w:tcPr>
            <w:tcW w:w="1307"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可持续影响指标</w:t>
            </w:r>
          </w:p>
        </w:tc>
        <w:tc>
          <w:tcPr>
            <w:tcW w:w="115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图书文化服务能力增强</w:t>
            </w:r>
          </w:p>
        </w:tc>
        <w:tc>
          <w:tcPr>
            <w:tcW w:w="85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同比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提升</w:t>
            </w:r>
          </w:p>
        </w:tc>
        <w:tc>
          <w:tcPr>
            <w:tcW w:w="1331"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可持续影响指标</w:t>
            </w:r>
          </w:p>
        </w:tc>
        <w:tc>
          <w:tcPr>
            <w:tcW w:w="13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仿宋" w:hAnsi="仿宋" w:eastAsia="仿宋" w:cs="仿宋"/>
                <w:i w:val="0"/>
                <w:iCs w:val="0"/>
                <w:color w:val="000000"/>
                <w:kern w:val="0"/>
                <w:sz w:val="24"/>
                <w:szCs w:val="24"/>
                <w:u w:val="none"/>
                <w:lang w:val="en-US" w:eastAsia="zh-CN" w:bidi="ar"/>
              </w:rPr>
              <w:t>同比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提升</w:t>
            </w:r>
          </w:p>
        </w:tc>
        <w:tc>
          <w:tcPr>
            <w:tcW w:w="814"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599" w:hRule="atLeast"/>
        </w:trPr>
        <w:tc>
          <w:tcPr>
            <w:tcW w:w="1719"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kern w:val="0"/>
                <w:sz w:val="20"/>
                <w:szCs w:val="20"/>
              </w:rPr>
            </w:pPr>
          </w:p>
        </w:tc>
        <w:tc>
          <w:tcPr>
            <w:tcW w:w="1141" w:type="dxa"/>
            <w:gridSpan w:val="2"/>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满意度</w:t>
            </w:r>
          </w:p>
          <w:p>
            <w:pPr>
              <w:widowControl/>
              <w:jc w:val="center"/>
              <w:rPr>
                <w:rFonts w:ascii="宋体" w:hAnsi="宋体"/>
                <w:kern w:val="0"/>
                <w:sz w:val="20"/>
                <w:szCs w:val="20"/>
              </w:rPr>
            </w:pPr>
            <w:r>
              <w:rPr>
                <w:rFonts w:hint="eastAsia" w:ascii="宋体" w:hAnsi="宋体"/>
                <w:kern w:val="0"/>
                <w:sz w:val="20"/>
                <w:szCs w:val="20"/>
              </w:rPr>
              <w:t>指标</w:t>
            </w:r>
          </w:p>
        </w:tc>
        <w:tc>
          <w:tcPr>
            <w:tcW w:w="2459"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　群众满意度提升</w:t>
            </w:r>
          </w:p>
        </w:tc>
        <w:tc>
          <w:tcPr>
            <w:tcW w:w="856" w:type="dxa"/>
            <w:tcBorders>
              <w:top w:val="nil"/>
              <w:left w:val="nil"/>
              <w:bottom w:val="single" w:color="000000" w:sz="4" w:space="0"/>
              <w:right w:val="single" w:color="000000" w:sz="4" w:space="0"/>
            </w:tcBorders>
            <w:vAlign w:val="center"/>
          </w:tcPr>
          <w:p>
            <w:pPr>
              <w:widowControl/>
              <w:jc w:val="center"/>
              <w:rPr>
                <w:rFonts w:hint="default" w:ascii="宋体" w:hAnsi="宋体" w:eastAsia="宋体"/>
                <w:kern w:val="0"/>
                <w:sz w:val="20"/>
                <w:szCs w:val="20"/>
                <w:lang w:val="en-US" w:eastAsia="zh-CN"/>
              </w:rPr>
            </w:pPr>
            <w:r>
              <w:rPr>
                <w:rFonts w:hint="eastAsia" w:ascii="宋体" w:hAnsi="宋体"/>
                <w:kern w:val="0"/>
                <w:sz w:val="20"/>
                <w:szCs w:val="20"/>
              </w:rPr>
              <w:t>　</w:t>
            </w:r>
            <w:r>
              <w:rPr>
                <w:rFonts w:hint="eastAsia" w:ascii="宋体" w:hAnsi="宋体"/>
                <w:kern w:val="0"/>
                <w:sz w:val="20"/>
                <w:szCs w:val="20"/>
                <w:lang w:val="en-US" w:eastAsia="zh-CN"/>
              </w:rPr>
              <w:t>90%</w:t>
            </w:r>
          </w:p>
        </w:tc>
        <w:tc>
          <w:tcPr>
            <w:tcW w:w="2631"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群众满意度提升　</w:t>
            </w:r>
          </w:p>
        </w:tc>
        <w:tc>
          <w:tcPr>
            <w:tcW w:w="814"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lang w:val="en-US" w:eastAsia="zh-CN"/>
              </w:rPr>
              <w:t>92%</w:t>
            </w:r>
            <w:r>
              <w:rPr>
                <w:rFonts w:hint="eastAsia" w:ascii="宋体" w:hAnsi="宋体"/>
                <w:kern w:val="0"/>
                <w:sz w:val="20"/>
                <w:szCs w:val="20"/>
              </w:rPr>
              <w:t>　</w:t>
            </w:r>
          </w:p>
        </w:tc>
      </w:tr>
    </w:tbl>
    <w:p>
      <w:pPr>
        <w:spacing w:line="580" w:lineRule="exact"/>
        <w:ind w:firstLine="600"/>
        <w:rPr>
          <w:rFonts w:hint="eastAsia" w:ascii="仿宋_GB2312" w:eastAsia="仿宋_GB2312"/>
          <w:color w:val="auto"/>
          <w:sz w:val="32"/>
          <w:szCs w:val="32"/>
        </w:rPr>
      </w:pPr>
    </w:p>
    <w:p>
      <w:pPr>
        <w:spacing w:line="580" w:lineRule="exact"/>
        <w:ind w:firstLine="600"/>
        <w:rPr>
          <w:rFonts w:hint="eastAsia" w:ascii="仿宋_GB2312" w:eastAsia="仿宋_GB2312"/>
          <w:color w:val="auto"/>
          <w:sz w:val="32"/>
          <w:szCs w:val="32"/>
        </w:rPr>
      </w:pPr>
    </w:p>
    <w:tbl>
      <w:tblPr>
        <w:tblStyle w:val="3"/>
        <w:tblpPr w:leftFromText="180" w:rightFromText="180" w:vertAnchor="text" w:horzAnchor="page" w:tblpX="1040" w:tblpY="336"/>
        <w:tblOverlap w:val="never"/>
        <w:tblW w:w="9440" w:type="dxa"/>
        <w:tblInd w:w="0" w:type="dxa"/>
        <w:tblLayout w:type="fixed"/>
        <w:tblCellMar>
          <w:top w:w="0" w:type="dxa"/>
          <w:left w:w="108" w:type="dxa"/>
          <w:bottom w:w="0" w:type="dxa"/>
          <w:right w:w="108" w:type="dxa"/>
        </w:tblCellMar>
      </w:tblPr>
      <w:tblGrid>
        <w:gridCol w:w="1687"/>
        <w:gridCol w:w="1097"/>
        <w:gridCol w:w="23"/>
        <w:gridCol w:w="1282"/>
        <w:gridCol w:w="1130"/>
        <w:gridCol w:w="841"/>
        <w:gridCol w:w="1306"/>
        <w:gridCol w:w="1275"/>
        <w:gridCol w:w="799"/>
      </w:tblGrid>
      <w:tr>
        <w:tblPrEx>
          <w:tblCellMar>
            <w:top w:w="0" w:type="dxa"/>
            <w:left w:w="108" w:type="dxa"/>
            <w:bottom w:w="0" w:type="dxa"/>
            <w:right w:w="108" w:type="dxa"/>
          </w:tblCellMar>
        </w:tblPrEx>
        <w:trPr>
          <w:trHeight w:val="824" w:hRule="atLeast"/>
        </w:trPr>
        <w:tc>
          <w:tcPr>
            <w:tcW w:w="9440" w:type="dxa"/>
            <w:gridSpan w:val="9"/>
            <w:tcBorders>
              <w:top w:val="nil"/>
              <w:left w:val="nil"/>
              <w:bottom w:val="single" w:color="000000" w:sz="4" w:space="0"/>
              <w:right w:val="nil"/>
            </w:tcBorders>
            <w:vAlign w:val="center"/>
          </w:tcPr>
          <w:p>
            <w:pPr>
              <w:widowControl/>
              <w:jc w:val="center"/>
              <w:rPr>
                <w:rFonts w:ascii="方正小标宋简体" w:eastAsia="方正小标宋简体"/>
                <w:kern w:val="0"/>
                <w:sz w:val="40"/>
                <w:szCs w:val="40"/>
              </w:rPr>
            </w:pPr>
            <w:r>
              <w:rPr>
                <w:rFonts w:hint="eastAsia" w:ascii="方正小标宋简体" w:eastAsia="方正小标宋简体"/>
                <w:kern w:val="0"/>
                <w:sz w:val="40"/>
                <w:szCs w:val="40"/>
              </w:rPr>
              <w:t>2019年预算项目支出绩效目标表</w:t>
            </w:r>
          </w:p>
        </w:tc>
      </w:tr>
      <w:tr>
        <w:tblPrEx>
          <w:tblCellMar>
            <w:top w:w="0" w:type="dxa"/>
            <w:left w:w="108" w:type="dxa"/>
            <w:bottom w:w="0" w:type="dxa"/>
            <w:right w:w="108" w:type="dxa"/>
          </w:tblCellMar>
        </w:tblPrEx>
        <w:trPr>
          <w:cantSplit/>
          <w:trHeight w:val="427" w:hRule="atLeast"/>
        </w:trPr>
        <w:tc>
          <w:tcPr>
            <w:tcW w:w="1687" w:type="dxa"/>
            <w:tcBorders>
              <w:top w:val="nil"/>
              <w:left w:val="single" w:color="000000"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7753" w:type="dxa"/>
            <w:gridSpan w:val="8"/>
            <w:tcBorders>
              <w:top w:val="single" w:color="000000" w:sz="4" w:space="0"/>
              <w:left w:val="nil"/>
              <w:bottom w:val="single" w:color="000000" w:sz="4" w:space="0"/>
              <w:right w:val="single" w:color="000000" w:sz="4" w:space="0"/>
            </w:tcBorders>
            <w:vAlign w:val="center"/>
          </w:tcPr>
          <w:p>
            <w:pPr>
              <w:widowControl/>
              <w:jc w:val="left"/>
              <w:rPr>
                <w:rFonts w:ascii="宋体" w:hAnsi="宋体"/>
                <w:color w:val="000000"/>
                <w:kern w:val="0"/>
                <w:sz w:val="20"/>
                <w:szCs w:val="20"/>
              </w:rPr>
            </w:pPr>
            <w:r>
              <w:rPr>
                <w:rFonts w:hint="eastAsia" w:ascii="宋体" w:hAnsi="宋体"/>
                <w:color w:val="000000"/>
                <w:kern w:val="0"/>
                <w:sz w:val="20"/>
                <w:szCs w:val="20"/>
              </w:rPr>
              <w:t>图书报刊购置经费</w:t>
            </w:r>
          </w:p>
        </w:tc>
      </w:tr>
      <w:tr>
        <w:tblPrEx>
          <w:tblCellMar>
            <w:top w:w="0" w:type="dxa"/>
            <w:left w:w="108" w:type="dxa"/>
            <w:bottom w:w="0" w:type="dxa"/>
            <w:right w:w="108" w:type="dxa"/>
          </w:tblCellMar>
        </w:tblPrEx>
        <w:trPr>
          <w:cantSplit/>
          <w:trHeight w:val="427" w:hRule="atLeast"/>
        </w:trPr>
        <w:tc>
          <w:tcPr>
            <w:tcW w:w="1687" w:type="dxa"/>
            <w:tcBorders>
              <w:top w:val="nil"/>
              <w:left w:val="single" w:color="000000"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主管部门</w:t>
            </w:r>
          </w:p>
        </w:tc>
        <w:tc>
          <w:tcPr>
            <w:tcW w:w="7753" w:type="dxa"/>
            <w:gridSpan w:val="8"/>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kern w:val="0"/>
                <w:sz w:val="20"/>
                <w:szCs w:val="20"/>
                <w:lang w:eastAsia="zh-CN"/>
              </w:rPr>
            </w:pPr>
            <w:r>
              <w:rPr>
                <w:rFonts w:hint="eastAsia" w:ascii="宋体" w:hAnsi="宋体"/>
                <w:kern w:val="0"/>
                <w:sz w:val="20"/>
                <w:szCs w:val="20"/>
              </w:rPr>
              <w:t>　</w:t>
            </w:r>
            <w:r>
              <w:rPr>
                <w:rFonts w:hint="eastAsia" w:ascii="宋体" w:hAnsi="宋体"/>
                <w:kern w:val="0"/>
                <w:sz w:val="20"/>
                <w:szCs w:val="20"/>
                <w:lang w:eastAsia="zh-CN"/>
              </w:rPr>
              <w:t>曲阜市文化和旅游局</w:t>
            </w:r>
          </w:p>
        </w:tc>
      </w:tr>
      <w:tr>
        <w:tblPrEx>
          <w:tblCellMar>
            <w:top w:w="0" w:type="dxa"/>
            <w:left w:w="108" w:type="dxa"/>
            <w:bottom w:w="0" w:type="dxa"/>
            <w:right w:w="108" w:type="dxa"/>
          </w:tblCellMar>
        </w:tblPrEx>
        <w:trPr>
          <w:cantSplit/>
          <w:trHeight w:val="1253" w:hRule="atLeast"/>
        </w:trPr>
        <w:tc>
          <w:tcPr>
            <w:tcW w:w="1687" w:type="dxa"/>
            <w:tcBorders>
              <w:top w:val="nil"/>
              <w:left w:val="single" w:color="000000"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资金情况</w:t>
            </w:r>
          </w:p>
        </w:tc>
        <w:tc>
          <w:tcPr>
            <w:tcW w:w="1097" w:type="dxa"/>
            <w:tcBorders>
              <w:top w:val="nil"/>
              <w:left w:val="nil"/>
              <w:bottom w:val="single" w:color="000000" w:sz="4" w:space="0"/>
              <w:right w:val="single" w:color="000000" w:sz="4" w:space="0"/>
            </w:tcBorders>
            <w:vAlign w:val="center"/>
          </w:tcPr>
          <w:p>
            <w:pPr>
              <w:widowControl/>
              <w:jc w:val="left"/>
              <w:rPr>
                <w:rFonts w:ascii="宋体" w:hAnsi="宋体"/>
                <w:kern w:val="0"/>
                <w:sz w:val="20"/>
                <w:szCs w:val="20"/>
              </w:rPr>
            </w:pPr>
            <w:r>
              <w:rPr>
                <w:rFonts w:hint="eastAsia" w:ascii="宋体" w:hAnsi="宋体"/>
                <w:kern w:val="0"/>
                <w:sz w:val="20"/>
                <w:szCs w:val="20"/>
              </w:rPr>
              <w:t>财政拨款年度金额：</w:t>
            </w:r>
          </w:p>
        </w:tc>
        <w:tc>
          <w:tcPr>
            <w:tcW w:w="6656" w:type="dxa"/>
            <w:gridSpan w:val="7"/>
            <w:tcBorders>
              <w:top w:val="single" w:color="000000" w:sz="4" w:space="0"/>
              <w:left w:val="nil"/>
              <w:bottom w:val="single" w:color="000000" w:sz="4" w:space="0"/>
              <w:right w:val="single" w:color="000000" w:sz="4" w:space="0"/>
            </w:tcBorders>
            <w:vAlign w:val="center"/>
          </w:tcPr>
          <w:p>
            <w:pPr>
              <w:widowControl/>
              <w:jc w:val="left"/>
              <w:rPr>
                <w:rFonts w:ascii="宋体" w:hAnsi="宋体"/>
                <w:kern w:val="0"/>
                <w:sz w:val="20"/>
                <w:szCs w:val="20"/>
              </w:rPr>
            </w:pPr>
            <w:r>
              <w:rPr>
                <w:rFonts w:hint="eastAsia" w:ascii="宋体" w:hAnsi="宋体"/>
                <w:kern w:val="0"/>
                <w:sz w:val="20"/>
                <w:szCs w:val="20"/>
              </w:rPr>
              <w:t xml:space="preserve"> </w:t>
            </w:r>
            <w:r>
              <w:rPr>
                <w:rFonts w:hint="eastAsia" w:ascii="宋体" w:hAnsi="宋体"/>
                <w:kern w:val="0"/>
                <w:sz w:val="20"/>
                <w:szCs w:val="20"/>
                <w:lang w:val="en-US" w:eastAsia="zh-CN"/>
              </w:rPr>
              <w:t>3</w:t>
            </w:r>
            <w:r>
              <w:rPr>
                <w:rFonts w:hint="eastAsia" w:ascii="宋体" w:hAnsi="宋体"/>
                <w:kern w:val="0"/>
                <w:sz w:val="20"/>
                <w:szCs w:val="20"/>
              </w:rPr>
              <w:t>万元</w:t>
            </w:r>
          </w:p>
        </w:tc>
      </w:tr>
      <w:tr>
        <w:tblPrEx>
          <w:tblCellMar>
            <w:top w:w="0" w:type="dxa"/>
            <w:left w:w="108" w:type="dxa"/>
            <w:bottom w:w="0" w:type="dxa"/>
            <w:right w:w="108" w:type="dxa"/>
          </w:tblCellMar>
        </w:tblPrEx>
        <w:trPr>
          <w:trHeight w:val="427" w:hRule="atLeast"/>
        </w:trPr>
        <w:tc>
          <w:tcPr>
            <w:tcW w:w="1687" w:type="dxa"/>
            <w:vMerge w:val="restart"/>
            <w:tcBorders>
              <w:top w:val="nil"/>
              <w:left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总体目标</w:t>
            </w:r>
          </w:p>
        </w:tc>
        <w:tc>
          <w:tcPr>
            <w:tcW w:w="4373"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b/>
                <w:bCs/>
                <w:kern w:val="0"/>
                <w:sz w:val="20"/>
                <w:szCs w:val="20"/>
              </w:rPr>
            </w:pPr>
            <w:r>
              <w:rPr>
                <w:rFonts w:hint="eastAsia" w:ascii="宋体" w:hAnsi="宋体"/>
                <w:b/>
                <w:bCs/>
                <w:kern w:val="0"/>
                <w:sz w:val="20"/>
                <w:szCs w:val="20"/>
              </w:rPr>
              <w:t>长期目标（×年-×年)</w:t>
            </w:r>
          </w:p>
        </w:tc>
        <w:tc>
          <w:tcPr>
            <w:tcW w:w="33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b/>
                <w:bCs/>
                <w:kern w:val="0"/>
                <w:sz w:val="20"/>
                <w:szCs w:val="20"/>
              </w:rPr>
            </w:pPr>
            <w:r>
              <w:rPr>
                <w:rFonts w:hint="eastAsia" w:ascii="宋体" w:hAnsi="宋体"/>
                <w:b/>
                <w:bCs/>
                <w:kern w:val="0"/>
                <w:sz w:val="20"/>
                <w:szCs w:val="20"/>
              </w:rPr>
              <w:t>年度目标（2019年）</w:t>
            </w:r>
          </w:p>
        </w:tc>
      </w:tr>
      <w:tr>
        <w:tblPrEx>
          <w:tblCellMar>
            <w:top w:w="0" w:type="dxa"/>
            <w:left w:w="108" w:type="dxa"/>
            <w:bottom w:w="0" w:type="dxa"/>
            <w:right w:w="108" w:type="dxa"/>
          </w:tblCellMar>
        </w:tblPrEx>
        <w:trPr>
          <w:trHeight w:val="427" w:hRule="atLeast"/>
        </w:trPr>
        <w:tc>
          <w:tcPr>
            <w:tcW w:w="1687"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kern w:val="0"/>
                <w:sz w:val="20"/>
                <w:szCs w:val="20"/>
              </w:rPr>
            </w:pPr>
          </w:p>
        </w:tc>
        <w:tc>
          <w:tcPr>
            <w:tcW w:w="4373" w:type="dxa"/>
            <w:gridSpan w:val="5"/>
            <w:tcBorders>
              <w:top w:val="single" w:color="000000" w:sz="4" w:space="0"/>
              <w:left w:val="nil"/>
              <w:bottom w:val="single" w:color="000000" w:sz="4" w:space="0"/>
              <w:right w:val="single" w:color="000000" w:sz="4" w:space="0"/>
            </w:tcBorders>
            <w:vAlign w:val="center"/>
          </w:tcPr>
          <w:p>
            <w:pPr>
              <w:widowControl/>
              <w:tabs>
                <w:tab w:val="center" w:pos="2078"/>
              </w:tabs>
              <w:jc w:val="left"/>
              <w:rPr>
                <w:rFonts w:hint="eastAsia" w:ascii="宋体" w:hAnsi="宋体"/>
                <w:color w:val="000000"/>
                <w:kern w:val="0"/>
                <w:sz w:val="20"/>
                <w:szCs w:val="20"/>
                <w:lang w:eastAsia="zh-CN"/>
              </w:rPr>
            </w:pPr>
            <w:r>
              <w:rPr>
                <w:rFonts w:hint="eastAsia" w:ascii="宋体" w:hAnsi="宋体"/>
                <w:color w:val="000000"/>
                <w:kern w:val="0"/>
                <w:sz w:val="20"/>
                <w:szCs w:val="20"/>
              </w:rPr>
              <w:t>　</w:t>
            </w:r>
            <w:r>
              <w:rPr>
                <w:rFonts w:hint="eastAsia" w:ascii="宋体" w:hAnsi="宋体"/>
                <w:color w:val="000000"/>
                <w:kern w:val="0"/>
                <w:sz w:val="20"/>
                <w:szCs w:val="20"/>
                <w:lang w:eastAsia="zh-CN"/>
              </w:rPr>
              <w:tab/>
            </w:r>
            <w:r>
              <w:rPr>
                <w:rFonts w:hint="eastAsia" w:ascii="宋体" w:hAnsi="宋体"/>
                <w:color w:val="000000"/>
                <w:kern w:val="0"/>
                <w:sz w:val="20"/>
                <w:szCs w:val="20"/>
                <w:lang w:eastAsia="zh-CN"/>
              </w:rPr>
              <w:t>　馆藏文献数量增加，馆藏结构得以优化，报纸期刊质量进一步提高，充分发挥资源优势，推动全民阅读，取得良好的社会效益。</w:t>
            </w:r>
          </w:p>
          <w:p>
            <w:pPr>
              <w:widowControl/>
              <w:tabs>
                <w:tab w:val="center" w:pos="2078"/>
              </w:tabs>
              <w:jc w:val="left"/>
              <w:rPr>
                <w:rFonts w:hint="eastAsia" w:ascii="宋体" w:hAnsi="宋体" w:eastAsia="宋体"/>
                <w:color w:val="000000"/>
                <w:kern w:val="0"/>
                <w:sz w:val="20"/>
                <w:szCs w:val="20"/>
                <w:lang w:eastAsia="zh-CN"/>
              </w:rPr>
            </w:pPr>
          </w:p>
        </w:tc>
        <w:tc>
          <w:tcPr>
            <w:tcW w:w="3380"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kern w:val="0"/>
                <w:sz w:val="20"/>
                <w:szCs w:val="20"/>
              </w:rPr>
            </w:pPr>
            <w:r>
              <w:rPr>
                <w:rFonts w:hint="eastAsia" w:ascii="宋体" w:hAnsi="宋体"/>
                <w:kern w:val="0"/>
                <w:sz w:val="20"/>
                <w:szCs w:val="20"/>
              </w:rPr>
              <w:t>　　采购期刊2</w:t>
            </w:r>
            <w:r>
              <w:rPr>
                <w:rFonts w:hint="eastAsia" w:ascii="宋体" w:hAnsi="宋体"/>
                <w:kern w:val="0"/>
                <w:sz w:val="20"/>
                <w:szCs w:val="20"/>
                <w:lang w:val="en-US" w:eastAsia="zh-CN"/>
              </w:rPr>
              <w:t>00</w:t>
            </w:r>
            <w:r>
              <w:rPr>
                <w:rFonts w:hint="eastAsia" w:ascii="宋体" w:hAnsi="宋体"/>
                <w:kern w:val="0"/>
                <w:sz w:val="20"/>
                <w:szCs w:val="20"/>
              </w:rPr>
              <w:t>种、报纸</w:t>
            </w:r>
            <w:r>
              <w:rPr>
                <w:rFonts w:hint="eastAsia" w:ascii="宋体" w:hAnsi="宋体"/>
                <w:kern w:val="0"/>
                <w:sz w:val="20"/>
                <w:szCs w:val="20"/>
                <w:lang w:val="en-US" w:eastAsia="zh-CN"/>
              </w:rPr>
              <w:t>20</w:t>
            </w:r>
            <w:r>
              <w:rPr>
                <w:rFonts w:hint="eastAsia" w:ascii="宋体" w:hAnsi="宋体"/>
                <w:kern w:val="0"/>
                <w:sz w:val="20"/>
                <w:szCs w:val="20"/>
              </w:rPr>
              <w:t>种，充分发挥图书馆资源优势，满足读者阅读需求。</w:t>
            </w:r>
          </w:p>
        </w:tc>
      </w:tr>
      <w:tr>
        <w:tblPrEx>
          <w:tblCellMar>
            <w:top w:w="0" w:type="dxa"/>
            <w:left w:w="108" w:type="dxa"/>
            <w:bottom w:w="0" w:type="dxa"/>
            <w:right w:w="108" w:type="dxa"/>
          </w:tblCellMar>
        </w:tblPrEx>
        <w:trPr>
          <w:trHeight w:val="839" w:hRule="atLeast"/>
        </w:trPr>
        <w:tc>
          <w:tcPr>
            <w:tcW w:w="1687" w:type="dxa"/>
            <w:tcBorders>
              <w:top w:val="nil"/>
              <w:left w:val="single" w:color="000000" w:sz="4" w:space="0"/>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绩效指标</w:t>
            </w:r>
          </w:p>
        </w:tc>
        <w:tc>
          <w:tcPr>
            <w:tcW w:w="1120" w:type="dxa"/>
            <w:gridSpan w:val="2"/>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一级指标</w:t>
            </w:r>
          </w:p>
        </w:tc>
        <w:tc>
          <w:tcPr>
            <w:tcW w:w="1282"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二级指标</w:t>
            </w:r>
          </w:p>
        </w:tc>
        <w:tc>
          <w:tcPr>
            <w:tcW w:w="1130"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三级指标</w:t>
            </w:r>
          </w:p>
        </w:tc>
        <w:tc>
          <w:tcPr>
            <w:tcW w:w="841"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指标值</w:t>
            </w:r>
          </w:p>
        </w:tc>
        <w:tc>
          <w:tcPr>
            <w:tcW w:w="1306"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二级指标</w:t>
            </w:r>
          </w:p>
        </w:tc>
        <w:tc>
          <w:tcPr>
            <w:tcW w:w="1275"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三级指标</w:t>
            </w:r>
          </w:p>
        </w:tc>
        <w:tc>
          <w:tcPr>
            <w:tcW w:w="799" w:type="dxa"/>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指标值</w:t>
            </w:r>
          </w:p>
        </w:tc>
      </w:tr>
      <w:tr>
        <w:tblPrEx>
          <w:tblCellMar>
            <w:top w:w="0" w:type="dxa"/>
            <w:left w:w="108" w:type="dxa"/>
            <w:bottom w:w="0" w:type="dxa"/>
            <w:right w:w="108" w:type="dxa"/>
          </w:tblCellMar>
        </w:tblPrEx>
        <w:trPr>
          <w:trHeight w:val="427" w:hRule="atLeast"/>
        </w:trPr>
        <w:tc>
          <w:tcPr>
            <w:tcW w:w="1687"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firstLineChars="200"/>
              <w:rPr>
                <w:rFonts w:ascii="宋体" w:hAnsi="宋体"/>
                <w:kern w:val="0"/>
                <w:sz w:val="20"/>
                <w:szCs w:val="20"/>
              </w:rPr>
            </w:pPr>
            <w:r>
              <w:rPr>
                <w:rFonts w:hint="eastAsia" w:ascii="宋体" w:hAnsi="宋体"/>
                <w:kern w:val="0"/>
                <w:sz w:val="20"/>
                <w:szCs w:val="20"/>
              </w:rPr>
              <w:t>绩效指标</w:t>
            </w:r>
          </w:p>
        </w:tc>
        <w:tc>
          <w:tcPr>
            <w:tcW w:w="112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rPr>
              <w:t>产出指标</w:t>
            </w:r>
          </w:p>
        </w:tc>
        <w:tc>
          <w:tcPr>
            <w:tcW w:w="1282" w:type="dxa"/>
            <w:tcBorders>
              <w:top w:val="nil"/>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 xml:space="preserve">数量指标 </w:t>
            </w:r>
          </w:p>
        </w:tc>
        <w:tc>
          <w:tcPr>
            <w:tcW w:w="11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期刊购置</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1%</w:t>
            </w:r>
          </w:p>
        </w:tc>
        <w:tc>
          <w:tcPr>
            <w:tcW w:w="130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 xml:space="preserve">数量指标 </w:t>
            </w:r>
          </w:p>
        </w:tc>
        <w:tc>
          <w:tcPr>
            <w:tcW w:w="127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期刊购置</w:t>
            </w:r>
          </w:p>
        </w:tc>
        <w:tc>
          <w:tcPr>
            <w:tcW w:w="79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00</w:t>
            </w:r>
            <w:r>
              <w:rPr>
                <w:rFonts w:hint="eastAsia" w:ascii="宋体" w:hAnsi="宋体" w:eastAsia="宋体" w:cs="宋体"/>
                <w:i w:val="0"/>
                <w:iCs w:val="0"/>
                <w:color w:val="000000"/>
                <w:kern w:val="0"/>
                <w:sz w:val="18"/>
                <w:szCs w:val="18"/>
                <w:u w:val="none"/>
                <w:lang w:val="en-US" w:eastAsia="zh-CN" w:bidi="ar"/>
              </w:rPr>
              <w:t>种</w:t>
            </w:r>
          </w:p>
        </w:tc>
      </w:tr>
      <w:tr>
        <w:tblPrEx>
          <w:tblCellMar>
            <w:top w:w="0" w:type="dxa"/>
            <w:left w:w="108" w:type="dxa"/>
            <w:bottom w:w="0" w:type="dxa"/>
            <w:right w:w="108" w:type="dxa"/>
          </w:tblCellMar>
        </w:tblPrEx>
        <w:trPr>
          <w:trHeight w:val="427" w:hRule="atLeast"/>
        </w:trPr>
        <w:tc>
          <w:tcPr>
            <w:tcW w:w="16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1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282" w:type="dxa"/>
            <w:tcBorders>
              <w:top w:val="nil"/>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 xml:space="preserve">数量指标 </w:t>
            </w:r>
          </w:p>
        </w:tc>
        <w:tc>
          <w:tcPr>
            <w:tcW w:w="11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报纸订阅</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1%</w:t>
            </w:r>
          </w:p>
        </w:tc>
        <w:tc>
          <w:tcPr>
            <w:tcW w:w="130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 xml:space="preserve">数量指标 </w:t>
            </w:r>
          </w:p>
        </w:tc>
        <w:tc>
          <w:tcPr>
            <w:tcW w:w="127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报纸订阅</w:t>
            </w:r>
          </w:p>
        </w:tc>
        <w:tc>
          <w:tcPr>
            <w:tcW w:w="79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cs="宋体"/>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种</w:t>
            </w:r>
          </w:p>
        </w:tc>
      </w:tr>
      <w:tr>
        <w:tblPrEx>
          <w:tblCellMar>
            <w:top w:w="0" w:type="dxa"/>
            <w:left w:w="108" w:type="dxa"/>
            <w:bottom w:w="0" w:type="dxa"/>
            <w:right w:w="108" w:type="dxa"/>
          </w:tblCellMar>
        </w:tblPrEx>
        <w:trPr>
          <w:trHeight w:val="427" w:hRule="atLeast"/>
        </w:trPr>
        <w:tc>
          <w:tcPr>
            <w:tcW w:w="16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1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282" w:type="dxa"/>
            <w:tcBorders>
              <w:top w:val="nil"/>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 xml:space="preserve">质量指标 </w:t>
            </w:r>
          </w:p>
        </w:tc>
        <w:tc>
          <w:tcPr>
            <w:tcW w:w="11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期刊、报纸质量符合要求</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符合</w:t>
            </w:r>
          </w:p>
        </w:tc>
        <w:tc>
          <w:tcPr>
            <w:tcW w:w="130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 xml:space="preserve">质量指标 </w:t>
            </w:r>
          </w:p>
        </w:tc>
        <w:tc>
          <w:tcPr>
            <w:tcW w:w="127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期刊、报纸质量符合要求</w:t>
            </w:r>
          </w:p>
        </w:tc>
        <w:tc>
          <w:tcPr>
            <w:tcW w:w="79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符合</w:t>
            </w:r>
          </w:p>
        </w:tc>
      </w:tr>
      <w:tr>
        <w:tblPrEx>
          <w:tblCellMar>
            <w:top w:w="0" w:type="dxa"/>
            <w:left w:w="108" w:type="dxa"/>
            <w:bottom w:w="0" w:type="dxa"/>
            <w:right w:w="108" w:type="dxa"/>
          </w:tblCellMar>
        </w:tblPrEx>
        <w:trPr>
          <w:trHeight w:val="427" w:hRule="atLeast"/>
        </w:trPr>
        <w:tc>
          <w:tcPr>
            <w:tcW w:w="16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1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282" w:type="dxa"/>
            <w:tcBorders>
              <w:top w:val="nil"/>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 xml:space="preserve">时效指标 </w:t>
            </w:r>
          </w:p>
        </w:tc>
        <w:tc>
          <w:tcPr>
            <w:tcW w:w="11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期刊报纸及时上架</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及时</w:t>
            </w:r>
          </w:p>
        </w:tc>
        <w:tc>
          <w:tcPr>
            <w:tcW w:w="130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 xml:space="preserve">时效指标 </w:t>
            </w:r>
          </w:p>
        </w:tc>
        <w:tc>
          <w:tcPr>
            <w:tcW w:w="127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期刊报纸及时上架</w:t>
            </w:r>
          </w:p>
        </w:tc>
        <w:tc>
          <w:tcPr>
            <w:tcW w:w="79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及时</w:t>
            </w:r>
          </w:p>
        </w:tc>
      </w:tr>
      <w:tr>
        <w:tblPrEx>
          <w:tblCellMar>
            <w:top w:w="0" w:type="dxa"/>
            <w:left w:w="108" w:type="dxa"/>
            <w:bottom w:w="0" w:type="dxa"/>
            <w:right w:w="108" w:type="dxa"/>
          </w:tblCellMar>
        </w:tblPrEx>
        <w:trPr>
          <w:trHeight w:val="427" w:hRule="atLeast"/>
        </w:trPr>
        <w:tc>
          <w:tcPr>
            <w:tcW w:w="16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12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rPr>
              <w:t>效益指标</w:t>
            </w:r>
          </w:p>
        </w:tc>
        <w:tc>
          <w:tcPr>
            <w:tcW w:w="1282" w:type="dxa"/>
            <w:tcBorders>
              <w:top w:val="nil"/>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 xml:space="preserve">经济效益指标 </w:t>
            </w:r>
          </w:p>
        </w:tc>
        <w:tc>
          <w:tcPr>
            <w:tcW w:w="11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无</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无</w:t>
            </w:r>
          </w:p>
        </w:tc>
        <w:tc>
          <w:tcPr>
            <w:tcW w:w="130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 xml:space="preserve">经济效益指标 </w:t>
            </w:r>
          </w:p>
        </w:tc>
        <w:tc>
          <w:tcPr>
            <w:tcW w:w="127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无</w:t>
            </w:r>
          </w:p>
        </w:tc>
        <w:tc>
          <w:tcPr>
            <w:tcW w:w="79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无</w:t>
            </w:r>
          </w:p>
        </w:tc>
      </w:tr>
      <w:tr>
        <w:tblPrEx>
          <w:tblCellMar>
            <w:top w:w="0" w:type="dxa"/>
            <w:left w:w="108" w:type="dxa"/>
            <w:bottom w:w="0" w:type="dxa"/>
            <w:right w:w="108" w:type="dxa"/>
          </w:tblCellMar>
        </w:tblPrEx>
        <w:trPr>
          <w:trHeight w:val="427" w:hRule="atLeast"/>
        </w:trPr>
        <w:tc>
          <w:tcPr>
            <w:tcW w:w="1687" w:type="dxa"/>
            <w:vMerge w:val="continue"/>
            <w:tcBorders>
              <w:top w:val="single" w:color="auto" w:sz="4" w:space="0"/>
              <w:left w:val="single" w:color="000000" w:sz="4" w:space="0"/>
              <w:right w:val="single" w:color="000000" w:sz="4" w:space="0"/>
            </w:tcBorders>
            <w:vAlign w:val="center"/>
          </w:tcPr>
          <w:p>
            <w:pPr>
              <w:widowControl/>
              <w:jc w:val="left"/>
              <w:rPr>
                <w:rFonts w:ascii="宋体" w:hAnsi="宋体"/>
                <w:kern w:val="0"/>
                <w:sz w:val="20"/>
                <w:szCs w:val="20"/>
              </w:rPr>
            </w:pPr>
          </w:p>
        </w:tc>
        <w:tc>
          <w:tcPr>
            <w:tcW w:w="1120" w:type="dxa"/>
            <w:gridSpan w:val="2"/>
            <w:vMerge w:val="continue"/>
            <w:tcBorders>
              <w:top w:val="single" w:color="auto" w:sz="4" w:space="0"/>
              <w:left w:val="nil"/>
              <w:right w:val="single" w:color="000000" w:sz="4" w:space="0"/>
            </w:tcBorders>
            <w:vAlign w:val="center"/>
          </w:tcPr>
          <w:p>
            <w:pPr>
              <w:widowControl/>
              <w:jc w:val="left"/>
              <w:rPr>
                <w:rFonts w:ascii="宋体" w:hAnsi="宋体"/>
                <w:kern w:val="0"/>
                <w:sz w:val="20"/>
                <w:szCs w:val="20"/>
              </w:rPr>
            </w:pPr>
          </w:p>
        </w:tc>
        <w:tc>
          <w:tcPr>
            <w:tcW w:w="128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 xml:space="preserve">社会效益指标 </w:t>
            </w:r>
          </w:p>
        </w:tc>
        <w:tc>
          <w:tcPr>
            <w:tcW w:w="11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　读者满意度</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≥90%</w:t>
            </w:r>
          </w:p>
        </w:tc>
        <w:tc>
          <w:tcPr>
            <w:tcW w:w="130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 xml:space="preserve">社会效益指标 </w:t>
            </w:r>
          </w:p>
        </w:tc>
        <w:tc>
          <w:tcPr>
            <w:tcW w:w="127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　读者满意度</w:t>
            </w:r>
          </w:p>
        </w:tc>
        <w:tc>
          <w:tcPr>
            <w:tcW w:w="79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≥90%</w:t>
            </w:r>
          </w:p>
        </w:tc>
      </w:tr>
      <w:tr>
        <w:tblPrEx>
          <w:tblCellMar>
            <w:top w:w="0" w:type="dxa"/>
            <w:left w:w="108" w:type="dxa"/>
            <w:bottom w:w="0" w:type="dxa"/>
            <w:right w:w="108" w:type="dxa"/>
          </w:tblCellMar>
        </w:tblPrEx>
        <w:trPr>
          <w:trHeight w:val="427" w:hRule="atLeast"/>
        </w:trPr>
        <w:tc>
          <w:tcPr>
            <w:tcW w:w="1687" w:type="dxa"/>
            <w:vMerge w:val="continue"/>
            <w:tcBorders>
              <w:left w:val="single" w:color="000000" w:sz="4" w:space="0"/>
              <w:right w:val="single" w:color="000000" w:sz="4" w:space="0"/>
            </w:tcBorders>
            <w:vAlign w:val="center"/>
          </w:tcPr>
          <w:p>
            <w:pPr>
              <w:widowControl/>
              <w:jc w:val="left"/>
              <w:rPr>
                <w:rFonts w:ascii="宋体" w:hAnsi="宋体"/>
                <w:kern w:val="0"/>
                <w:sz w:val="20"/>
                <w:szCs w:val="20"/>
              </w:rPr>
            </w:pPr>
          </w:p>
        </w:tc>
        <w:tc>
          <w:tcPr>
            <w:tcW w:w="1120" w:type="dxa"/>
            <w:gridSpan w:val="2"/>
            <w:vMerge w:val="continue"/>
            <w:tcBorders>
              <w:left w:val="nil"/>
              <w:right w:val="single" w:color="000000" w:sz="4" w:space="0"/>
            </w:tcBorders>
            <w:vAlign w:val="center"/>
          </w:tcPr>
          <w:p>
            <w:pPr>
              <w:widowControl/>
              <w:jc w:val="left"/>
              <w:rPr>
                <w:rFonts w:ascii="宋体" w:hAnsi="宋体"/>
                <w:kern w:val="0"/>
                <w:sz w:val="20"/>
                <w:szCs w:val="20"/>
              </w:rPr>
            </w:pPr>
          </w:p>
        </w:tc>
        <w:tc>
          <w:tcPr>
            <w:tcW w:w="128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 xml:space="preserve">生态效益指标 </w:t>
            </w:r>
          </w:p>
        </w:tc>
        <w:tc>
          <w:tcPr>
            <w:tcW w:w="11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无</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无</w:t>
            </w:r>
          </w:p>
        </w:tc>
        <w:tc>
          <w:tcPr>
            <w:tcW w:w="130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 xml:space="preserve">生态效益指标 </w:t>
            </w:r>
          </w:p>
        </w:tc>
        <w:tc>
          <w:tcPr>
            <w:tcW w:w="127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无</w:t>
            </w:r>
          </w:p>
        </w:tc>
        <w:tc>
          <w:tcPr>
            <w:tcW w:w="79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无</w:t>
            </w:r>
          </w:p>
        </w:tc>
      </w:tr>
      <w:tr>
        <w:tblPrEx>
          <w:tblCellMar>
            <w:top w:w="0" w:type="dxa"/>
            <w:left w:w="108" w:type="dxa"/>
            <w:bottom w:w="0" w:type="dxa"/>
            <w:right w:w="108" w:type="dxa"/>
          </w:tblCellMar>
        </w:tblPrEx>
        <w:trPr>
          <w:trHeight w:val="839" w:hRule="atLeast"/>
        </w:trPr>
        <w:tc>
          <w:tcPr>
            <w:tcW w:w="1687" w:type="dxa"/>
            <w:vMerge w:val="continue"/>
            <w:tcBorders>
              <w:left w:val="single" w:color="000000" w:sz="4" w:space="0"/>
              <w:right w:val="single" w:color="000000" w:sz="4" w:space="0"/>
            </w:tcBorders>
            <w:vAlign w:val="center"/>
          </w:tcPr>
          <w:p>
            <w:pPr>
              <w:widowControl/>
              <w:jc w:val="left"/>
              <w:rPr>
                <w:rFonts w:ascii="宋体" w:hAnsi="宋体"/>
                <w:kern w:val="0"/>
                <w:sz w:val="20"/>
                <w:szCs w:val="20"/>
              </w:rPr>
            </w:pPr>
          </w:p>
        </w:tc>
        <w:tc>
          <w:tcPr>
            <w:tcW w:w="1120" w:type="dxa"/>
            <w:gridSpan w:val="2"/>
            <w:vMerge w:val="continue"/>
            <w:tcBorders>
              <w:left w:val="nil"/>
              <w:bottom w:val="single" w:color="000000" w:sz="4" w:space="0"/>
              <w:right w:val="single" w:color="000000" w:sz="4" w:space="0"/>
            </w:tcBorders>
            <w:vAlign w:val="center"/>
          </w:tcPr>
          <w:p>
            <w:pPr>
              <w:widowControl/>
              <w:jc w:val="left"/>
              <w:rPr>
                <w:rFonts w:ascii="宋体" w:hAnsi="宋体"/>
                <w:kern w:val="0"/>
                <w:sz w:val="20"/>
                <w:szCs w:val="20"/>
              </w:rPr>
            </w:pPr>
          </w:p>
        </w:tc>
        <w:tc>
          <w:tcPr>
            <w:tcW w:w="128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 xml:space="preserve">可持续影响指标 </w:t>
            </w:r>
          </w:p>
        </w:tc>
        <w:tc>
          <w:tcPr>
            <w:tcW w:w="11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馆藏结构</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优化</w:t>
            </w:r>
          </w:p>
        </w:tc>
        <w:tc>
          <w:tcPr>
            <w:tcW w:w="130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 xml:space="preserve">可持续影响指标 </w:t>
            </w:r>
          </w:p>
        </w:tc>
        <w:tc>
          <w:tcPr>
            <w:tcW w:w="127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馆藏结构</w:t>
            </w:r>
          </w:p>
        </w:tc>
        <w:tc>
          <w:tcPr>
            <w:tcW w:w="79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000000"/>
                <w:kern w:val="0"/>
                <w:sz w:val="18"/>
                <w:szCs w:val="18"/>
                <w:u w:val="none"/>
                <w:lang w:val="en-US" w:eastAsia="zh-CN" w:bidi="ar"/>
              </w:rPr>
              <w:t>优化</w:t>
            </w:r>
          </w:p>
        </w:tc>
      </w:tr>
      <w:tr>
        <w:tblPrEx>
          <w:tblCellMar>
            <w:top w:w="0" w:type="dxa"/>
            <w:left w:w="108" w:type="dxa"/>
            <w:bottom w:w="0" w:type="dxa"/>
            <w:right w:w="108" w:type="dxa"/>
          </w:tblCellMar>
        </w:tblPrEx>
        <w:trPr>
          <w:trHeight w:val="855" w:hRule="atLeast"/>
        </w:trPr>
        <w:tc>
          <w:tcPr>
            <w:tcW w:w="1687"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kern w:val="0"/>
                <w:sz w:val="20"/>
                <w:szCs w:val="20"/>
              </w:rPr>
            </w:pPr>
          </w:p>
        </w:tc>
        <w:tc>
          <w:tcPr>
            <w:tcW w:w="1120" w:type="dxa"/>
            <w:gridSpan w:val="2"/>
            <w:tcBorders>
              <w:top w:val="nil"/>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满意度</w:t>
            </w:r>
          </w:p>
          <w:p>
            <w:pPr>
              <w:widowControl/>
              <w:jc w:val="center"/>
              <w:rPr>
                <w:rFonts w:ascii="宋体" w:hAnsi="宋体"/>
                <w:kern w:val="0"/>
                <w:sz w:val="20"/>
                <w:szCs w:val="20"/>
              </w:rPr>
            </w:pPr>
            <w:r>
              <w:rPr>
                <w:rFonts w:hint="eastAsia" w:ascii="宋体" w:hAnsi="宋体"/>
                <w:kern w:val="0"/>
                <w:sz w:val="20"/>
                <w:szCs w:val="20"/>
              </w:rPr>
              <w:t>指标</w:t>
            </w:r>
          </w:p>
        </w:tc>
        <w:tc>
          <w:tcPr>
            <w:tcW w:w="2412"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群众满意度提升　</w:t>
            </w:r>
          </w:p>
        </w:tc>
        <w:tc>
          <w:tcPr>
            <w:tcW w:w="841" w:type="dxa"/>
            <w:tcBorders>
              <w:top w:val="nil"/>
              <w:left w:val="nil"/>
              <w:bottom w:val="single" w:color="000000" w:sz="4" w:space="0"/>
              <w:right w:val="single" w:color="000000" w:sz="4" w:space="0"/>
            </w:tcBorders>
            <w:vAlign w:val="center"/>
          </w:tcPr>
          <w:p>
            <w:pPr>
              <w:widowControl/>
              <w:jc w:val="center"/>
              <w:rPr>
                <w:rFonts w:hint="default" w:ascii="宋体" w:hAnsi="宋体" w:eastAsia="宋体"/>
                <w:kern w:val="0"/>
                <w:sz w:val="20"/>
                <w:szCs w:val="20"/>
                <w:lang w:val="en-US" w:eastAsia="zh-CN"/>
              </w:rPr>
            </w:pPr>
            <w:r>
              <w:rPr>
                <w:rFonts w:hint="eastAsia" w:ascii="宋体" w:hAnsi="宋体"/>
                <w:kern w:val="0"/>
                <w:sz w:val="20"/>
                <w:szCs w:val="20"/>
              </w:rPr>
              <w:t>　</w:t>
            </w:r>
            <w:r>
              <w:rPr>
                <w:rFonts w:hint="eastAsia" w:ascii="宋体" w:hAnsi="宋体"/>
                <w:kern w:val="0"/>
                <w:sz w:val="20"/>
                <w:szCs w:val="20"/>
                <w:lang w:val="en-US" w:eastAsia="zh-CN"/>
              </w:rPr>
              <w:t>90%</w:t>
            </w:r>
          </w:p>
        </w:tc>
        <w:tc>
          <w:tcPr>
            <w:tcW w:w="2581"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　群众满意度提升　</w:t>
            </w:r>
          </w:p>
        </w:tc>
        <w:tc>
          <w:tcPr>
            <w:tcW w:w="799" w:type="dxa"/>
            <w:tcBorders>
              <w:top w:val="nil"/>
              <w:left w:val="nil"/>
              <w:bottom w:val="single" w:color="000000" w:sz="4" w:space="0"/>
              <w:right w:val="single" w:color="000000" w:sz="4" w:space="0"/>
            </w:tcBorders>
            <w:vAlign w:val="center"/>
          </w:tcPr>
          <w:p>
            <w:pPr>
              <w:widowControl/>
              <w:jc w:val="center"/>
              <w:rPr>
                <w:rFonts w:hint="default" w:ascii="宋体" w:hAnsi="宋体" w:eastAsia="宋体"/>
                <w:kern w:val="0"/>
                <w:sz w:val="20"/>
                <w:szCs w:val="20"/>
                <w:lang w:val="en-US" w:eastAsia="zh-CN"/>
              </w:rPr>
            </w:pPr>
            <w:r>
              <w:rPr>
                <w:rFonts w:hint="eastAsia" w:ascii="宋体" w:hAnsi="宋体"/>
                <w:kern w:val="0"/>
                <w:sz w:val="20"/>
                <w:szCs w:val="20"/>
              </w:rPr>
              <w:t>　</w:t>
            </w:r>
            <w:r>
              <w:rPr>
                <w:rFonts w:hint="eastAsia" w:ascii="宋体" w:hAnsi="宋体"/>
                <w:kern w:val="0"/>
                <w:sz w:val="20"/>
                <w:szCs w:val="20"/>
                <w:lang w:val="en-US" w:eastAsia="zh-CN"/>
              </w:rPr>
              <w:t>92%</w:t>
            </w:r>
          </w:p>
        </w:tc>
      </w:tr>
    </w:tbl>
    <w:p>
      <w:pPr>
        <w:spacing w:line="580" w:lineRule="exact"/>
        <w:ind w:firstLine="600"/>
        <w:rPr>
          <w:rFonts w:hint="eastAsia" w:ascii="仿宋_GB2312" w:eastAsia="仿宋_GB2312"/>
          <w:color w:val="auto"/>
          <w:sz w:val="32"/>
          <w:szCs w:val="32"/>
        </w:rPr>
      </w:pPr>
    </w:p>
    <w:p>
      <w:pPr>
        <w:spacing w:line="580" w:lineRule="exact"/>
        <w:ind w:firstLine="600"/>
        <w:rPr>
          <w:rFonts w:hint="eastAsia" w:ascii="仿宋_GB2312" w:eastAsia="仿宋_GB2312"/>
          <w:color w:val="auto"/>
          <w:sz w:val="32"/>
          <w:szCs w:val="32"/>
        </w:rPr>
      </w:pPr>
    </w:p>
    <w:p>
      <w:pPr>
        <w:spacing w:line="580" w:lineRule="exact"/>
        <w:ind w:firstLine="600"/>
        <w:rPr>
          <w:rFonts w:hint="eastAsia" w:ascii="仿宋_GB2312" w:eastAsia="仿宋_GB2312"/>
          <w:color w:val="auto"/>
          <w:sz w:val="32"/>
          <w:szCs w:val="32"/>
        </w:rPr>
      </w:pPr>
    </w:p>
    <w:p>
      <w:pPr>
        <w:spacing w:line="580" w:lineRule="exact"/>
        <w:rPr>
          <w:rFonts w:hint="eastAsia" w:ascii="仿宋_GB2312" w:eastAsia="仿宋_GB2312"/>
          <w:color w:val="auto"/>
          <w:sz w:val="32"/>
          <w:szCs w:val="32"/>
        </w:rPr>
      </w:pPr>
    </w:p>
    <w:p>
      <w:pPr>
        <w:rPr>
          <w:rFonts w:hint="eastAsia" w:ascii="黑体" w:eastAsia="黑体"/>
          <w:b/>
          <w:color w:val="auto"/>
          <w:sz w:val="52"/>
          <w:szCs w:val="52"/>
        </w:rPr>
      </w:pPr>
    </w:p>
    <w:p>
      <w:pPr>
        <w:rPr>
          <w:rFonts w:hint="eastAsia" w:ascii="黑体" w:eastAsia="黑体"/>
          <w:color w:val="auto"/>
          <w:sz w:val="52"/>
          <w:szCs w:val="52"/>
        </w:rPr>
      </w:pPr>
      <w:r>
        <w:rPr>
          <w:rFonts w:hint="eastAsia" w:ascii="黑体" w:eastAsia="黑体"/>
          <w:color w:val="auto"/>
          <w:sz w:val="52"/>
          <w:szCs w:val="52"/>
        </w:rPr>
        <w:t>第四部分</w:t>
      </w:r>
    </w:p>
    <w:p>
      <w:pPr>
        <w:rPr>
          <w:rFonts w:hint="eastAsia" w:ascii="黑体" w:eastAsia="黑体"/>
          <w:color w:val="auto"/>
          <w:sz w:val="52"/>
          <w:szCs w:val="52"/>
        </w:rPr>
      </w:pPr>
    </w:p>
    <w:p>
      <w:pPr>
        <w:jc w:val="center"/>
        <w:rPr>
          <w:rFonts w:hint="eastAsia" w:ascii="黑体" w:eastAsia="黑体"/>
          <w:color w:val="auto"/>
          <w:sz w:val="52"/>
          <w:szCs w:val="52"/>
        </w:rPr>
      </w:pPr>
      <w:r>
        <w:rPr>
          <w:rFonts w:hint="eastAsia" w:ascii="黑体" w:eastAsia="黑体"/>
          <w:color w:val="auto"/>
          <w:sz w:val="52"/>
          <w:szCs w:val="52"/>
        </w:rPr>
        <w:t>名词解释</w:t>
      </w:r>
    </w:p>
    <w:p>
      <w:pPr>
        <w:rPr>
          <w:rFonts w:hint="eastAsia" w:ascii="黑体" w:eastAsia="黑体"/>
          <w:b/>
          <w:color w:val="auto"/>
          <w:sz w:val="30"/>
          <w:szCs w:val="30"/>
        </w:rPr>
      </w:pPr>
    </w:p>
    <w:p>
      <w:pPr>
        <w:rPr>
          <w:rFonts w:hint="eastAsia" w:ascii="黑体" w:eastAsia="黑体"/>
          <w:b/>
          <w:color w:val="auto"/>
          <w:sz w:val="30"/>
          <w:szCs w:val="30"/>
        </w:rPr>
      </w:pPr>
    </w:p>
    <w:p>
      <w:pPr>
        <w:rPr>
          <w:rFonts w:hint="eastAsia" w:ascii="黑体" w:eastAsia="黑体"/>
          <w:b/>
          <w:color w:val="auto"/>
          <w:sz w:val="30"/>
          <w:szCs w:val="30"/>
        </w:rPr>
      </w:pPr>
    </w:p>
    <w:p>
      <w:pPr>
        <w:rPr>
          <w:rFonts w:hint="eastAsia" w:ascii="黑体" w:eastAsia="黑体"/>
          <w:b/>
          <w:color w:val="auto"/>
          <w:sz w:val="30"/>
          <w:szCs w:val="30"/>
        </w:rPr>
      </w:pPr>
    </w:p>
    <w:p>
      <w:pPr>
        <w:rPr>
          <w:rFonts w:hint="eastAsia" w:ascii="黑体" w:eastAsia="黑体"/>
          <w:b/>
          <w:color w:val="auto"/>
          <w:sz w:val="30"/>
          <w:szCs w:val="30"/>
        </w:rPr>
      </w:pPr>
    </w:p>
    <w:p>
      <w:pPr>
        <w:rPr>
          <w:rFonts w:hint="eastAsia" w:ascii="黑体" w:eastAsia="黑体"/>
          <w:b/>
          <w:color w:val="auto"/>
          <w:sz w:val="30"/>
          <w:szCs w:val="30"/>
        </w:rPr>
      </w:pPr>
    </w:p>
    <w:p>
      <w:pPr>
        <w:rPr>
          <w:rFonts w:hint="eastAsia" w:ascii="黑体" w:eastAsia="黑体"/>
          <w:b/>
          <w:color w:val="auto"/>
          <w:sz w:val="30"/>
          <w:szCs w:val="30"/>
        </w:rPr>
      </w:pPr>
    </w:p>
    <w:p>
      <w:pPr>
        <w:rPr>
          <w:rFonts w:hint="eastAsia" w:ascii="黑体" w:eastAsia="黑体"/>
          <w:b/>
          <w:color w:val="auto"/>
          <w:sz w:val="30"/>
          <w:szCs w:val="30"/>
        </w:rPr>
      </w:pPr>
    </w:p>
    <w:p>
      <w:pPr>
        <w:rPr>
          <w:rFonts w:hint="eastAsia" w:ascii="黑体" w:eastAsia="黑体"/>
          <w:b/>
          <w:color w:val="auto"/>
          <w:sz w:val="30"/>
          <w:szCs w:val="30"/>
        </w:rPr>
      </w:pPr>
    </w:p>
    <w:p>
      <w:pPr>
        <w:rPr>
          <w:rFonts w:hint="eastAsia" w:ascii="黑体" w:eastAsia="黑体"/>
          <w:b/>
          <w:color w:val="auto"/>
          <w:sz w:val="30"/>
          <w:szCs w:val="30"/>
        </w:rPr>
      </w:pPr>
    </w:p>
    <w:p>
      <w:pPr>
        <w:rPr>
          <w:rFonts w:hint="eastAsia" w:ascii="黑体" w:eastAsia="黑体"/>
          <w:b/>
          <w:color w:val="auto"/>
          <w:sz w:val="30"/>
          <w:szCs w:val="30"/>
        </w:rPr>
      </w:pPr>
    </w:p>
    <w:p>
      <w:pPr>
        <w:rPr>
          <w:rFonts w:hint="eastAsia" w:ascii="黑体" w:eastAsia="黑体"/>
          <w:b/>
          <w:color w:val="auto"/>
          <w:sz w:val="30"/>
          <w:szCs w:val="30"/>
        </w:rPr>
      </w:pPr>
    </w:p>
    <w:p>
      <w:pPr>
        <w:rPr>
          <w:rFonts w:hint="eastAsia" w:ascii="黑体" w:eastAsia="黑体"/>
          <w:b/>
          <w:color w:val="auto"/>
          <w:sz w:val="30"/>
          <w:szCs w:val="30"/>
        </w:rPr>
      </w:pPr>
    </w:p>
    <w:p>
      <w:pPr>
        <w:rPr>
          <w:rFonts w:hint="eastAsia" w:ascii="黑体" w:eastAsia="黑体"/>
          <w:b/>
          <w:color w:val="auto"/>
          <w:sz w:val="30"/>
          <w:szCs w:val="30"/>
        </w:rPr>
      </w:pPr>
    </w:p>
    <w:p>
      <w:pPr>
        <w:rPr>
          <w:rFonts w:hint="eastAsia" w:ascii="黑体" w:eastAsia="黑体"/>
          <w:b/>
          <w:color w:val="auto"/>
          <w:sz w:val="30"/>
          <w:szCs w:val="30"/>
        </w:rPr>
      </w:pPr>
    </w:p>
    <w:p>
      <w:pPr>
        <w:rPr>
          <w:rFonts w:hint="eastAsia" w:ascii="黑体" w:eastAsia="黑体"/>
          <w:b/>
          <w:color w:val="auto"/>
          <w:sz w:val="30"/>
          <w:szCs w:val="30"/>
        </w:rPr>
      </w:pPr>
    </w:p>
    <w:p>
      <w:pPr>
        <w:rPr>
          <w:rFonts w:hint="eastAsia" w:ascii="黑体" w:eastAsia="黑体"/>
          <w:b/>
          <w:color w:val="auto"/>
          <w:sz w:val="30"/>
          <w:szCs w:val="30"/>
        </w:rPr>
      </w:pPr>
    </w:p>
    <w:p>
      <w:pPr>
        <w:rPr>
          <w:rFonts w:hint="eastAsia" w:ascii="黑体" w:eastAsia="黑体"/>
          <w:b/>
          <w:color w:val="auto"/>
          <w:sz w:val="30"/>
          <w:szCs w:val="30"/>
        </w:rPr>
      </w:pPr>
    </w:p>
    <w:p>
      <w:pPr>
        <w:rPr>
          <w:rFonts w:hint="eastAsia" w:ascii="黑体" w:eastAsia="黑体"/>
          <w:b/>
          <w:color w:val="auto"/>
          <w:sz w:val="30"/>
          <w:szCs w:val="30"/>
        </w:rPr>
      </w:pPr>
    </w:p>
    <w:p>
      <w:pPr>
        <w:rPr>
          <w:rFonts w:hint="eastAsia" w:ascii="黑体" w:eastAsia="黑体"/>
          <w:b/>
          <w:color w:val="auto"/>
          <w:sz w:val="30"/>
          <w:szCs w:val="30"/>
        </w:rPr>
      </w:pPr>
    </w:p>
    <w:p>
      <w:pPr>
        <w:rPr>
          <w:rFonts w:hint="eastAsia" w:ascii="黑体" w:eastAsia="黑体"/>
          <w:b/>
          <w:color w:val="auto"/>
          <w:sz w:val="30"/>
          <w:szCs w:val="30"/>
        </w:rPr>
      </w:pPr>
    </w:p>
    <w:p>
      <w:pPr>
        <w:rPr>
          <w:rFonts w:hint="eastAsia" w:ascii="黑体" w:eastAsia="黑体"/>
          <w:b/>
          <w:color w:val="auto"/>
          <w:sz w:val="30"/>
          <w:szCs w:val="30"/>
        </w:rPr>
      </w:pPr>
    </w:p>
    <w:p>
      <w:pPr>
        <w:rPr>
          <w:rFonts w:hint="eastAsia" w:ascii="黑体" w:eastAsia="黑体"/>
          <w:b/>
          <w:color w:val="auto"/>
          <w:sz w:val="30"/>
          <w:szCs w:val="30"/>
        </w:rPr>
      </w:pPr>
    </w:p>
    <w:p>
      <w:pPr>
        <w:rPr>
          <w:rFonts w:hint="eastAsia" w:ascii="黑体" w:eastAsia="黑体"/>
          <w:b/>
          <w:color w:val="auto"/>
          <w:sz w:val="30"/>
          <w:szCs w:val="30"/>
        </w:rPr>
      </w:pPr>
    </w:p>
    <w:p>
      <w:pPr>
        <w:spacing w:line="580" w:lineRule="exact"/>
        <w:ind w:firstLine="600"/>
        <w:rPr>
          <w:rFonts w:hint="eastAsia" w:ascii="仿宋_GB2312" w:eastAsia="仿宋_GB2312"/>
          <w:color w:val="auto"/>
          <w:sz w:val="32"/>
          <w:szCs w:val="32"/>
        </w:rPr>
      </w:pPr>
      <w:r>
        <w:rPr>
          <w:rFonts w:hint="eastAsia" w:ascii="黑体" w:hAnsi="黑体" w:eastAsia="黑体"/>
          <w:color w:val="auto"/>
          <w:sz w:val="32"/>
          <w:szCs w:val="32"/>
        </w:rPr>
        <w:t>一、财政拨款收入：</w:t>
      </w:r>
      <w:r>
        <w:rPr>
          <w:rFonts w:hint="eastAsia" w:ascii="仿宋_GB2312" w:eastAsia="仿宋_GB2312"/>
          <w:color w:val="auto"/>
          <w:sz w:val="32"/>
          <w:szCs w:val="32"/>
        </w:rPr>
        <w:t>指由市级财政拨款形成的部门收入。按现行管理制度，市级部门预算中反映的财政拨款包括一般公共预算收入、政府性基金预算收入和国有资本经营预算收入。</w:t>
      </w:r>
    </w:p>
    <w:p>
      <w:pPr>
        <w:spacing w:line="580" w:lineRule="exact"/>
        <w:ind w:firstLine="600"/>
        <w:rPr>
          <w:rFonts w:hint="eastAsia" w:ascii="仿宋_GB2312" w:eastAsia="仿宋_GB2312"/>
          <w:color w:val="auto"/>
          <w:sz w:val="32"/>
          <w:szCs w:val="32"/>
        </w:rPr>
      </w:pPr>
      <w:r>
        <w:rPr>
          <w:rFonts w:hint="eastAsia" w:ascii="黑体" w:hAnsi="黑体" w:eastAsia="黑体"/>
          <w:color w:val="auto"/>
          <w:sz w:val="32"/>
          <w:szCs w:val="32"/>
        </w:rPr>
        <w:t>二、财政专户管理资金：</w:t>
      </w:r>
      <w:r>
        <w:rPr>
          <w:rFonts w:hint="eastAsia" w:ascii="仿宋_GB2312" w:eastAsia="仿宋_GB2312"/>
          <w:color w:val="auto"/>
          <w:sz w:val="32"/>
          <w:szCs w:val="32"/>
        </w:rPr>
        <w:t>指单位纳入财政专户管理的资金。包括：教育收费、社会公益机构接受的公益捐赠收入，以及幼儿园接受的捐赠收入等。</w:t>
      </w:r>
    </w:p>
    <w:p>
      <w:pPr>
        <w:spacing w:line="580" w:lineRule="exact"/>
        <w:ind w:firstLine="600"/>
        <w:rPr>
          <w:rFonts w:hint="eastAsia" w:ascii="仿宋_GB2312" w:eastAsia="仿宋_GB2312"/>
          <w:color w:val="auto"/>
          <w:sz w:val="32"/>
          <w:szCs w:val="32"/>
        </w:rPr>
      </w:pPr>
      <w:r>
        <w:rPr>
          <w:rFonts w:hint="eastAsia" w:ascii="黑体" w:hAnsi="黑体" w:eastAsia="黑体"/>
          <w:color w:val="auto"/>
          <w:sz w:val="32"/>
          <w:szCs w:val="32"/>
        </w:rPr>
        <w:t>三、事业收入：</w:t>
      </w:r>
      <w:r>
        <w:rPr>
          <w:rFonts w:hint="eastAsia" w:ascii="仿宋_GB2312" w:eastAsia="仿宋_GB2312"/>
          <w:color w:val="auto"/>
          <w:sz w:val="32"/>
          <w:szCs w:val="32"/>
        </w:rPr>
        <w:t>指事业单位开展专业业务活动及辅助活动所取得的收入。</w:t>
      </w:r>
    </w:p>
    <w:p>
      <w:pPr>
        <w:spacing w:line="580" w:lineRule="exact"/>
        <w:ind w:firstLine="600"/>
        <w:rPr>
          <w:rFonts w:hint="eastAsia" w:ascii="仿宋_GB2312" w:eastAsia="仿宋_GB2312"/>
          <w:color w:val="auto"/>
          <w:sz w:val="32"/>
          <w:szCs w:val="32"/>
        </w:rPr>
      </w:pPr>
      <w:r>
        <w:rPr>
          <w:rFonts w:hint="eastAsia" w:ascii="黑体" w:hAnsi="黑体" w:eastAsia="黑体"/>
          <w:color w:val="auto"/>
          <w:sz w:val="32"/>
          <w:szCs w:val="32"/>
        </w:rPr>
        <w:t>四、事业单位经营收入：</w:t>
      </w:r>
      <w:r>
        <w:rPr>
          <w:rFonts w:hint="eastAsia" w:ascii="仿宋_GB2312" w:eastAsia="仿宋_GB2312"/>
          <w:color w:val="auto"/>
          <w:sz w:val="32"/>
          <w:szCs w:val="32"/>
        </w:rPr>
        <w:t>指事业单位在专业业务活动及其辅助活动之外开展非独立核算经营活动取得的收入。</w:t>
      </w:r>
    </w:p>
    <w:p>
      <w:pPr>
        <w:spacing w:line="580" w:lineRule="exact"/>
        <w:ind w:firstLine="600"/>
        <w:rPr>
          <w:rFonts w:hint="eastAsia" w:ascii="仿宋_GB2312" w:eastAsia="仿宋_GB2312"/>
          <w:color w:val="auto"/>
          <w:sz w:val="32"/>
          <w:szCs w:val="32"/>
        </w:rPr>
      </w:pPr>
      <w:r>
        <w:rPr>
          <w:rFonts w:hint="eastAsia" w:ascii="黑体" w:hAnsi="黑体" w:eastAsia="黑体"/>
          <w:color w:val="auto"/>
          <w:sz w:val="32"/>
          <w:szCs w:val="32"/>
        </w:rPr>
        <w:t>五、其他收入：</w:t>
      </w:r>
      <w:r>
        <w:rPr>
          <w:rFonts w:hint="eastAsia" w:ascii="仿宋_GB2312" w:eastAsia="仿宋_GB2312"/>
          <w:color w:val="auto"/>
          <w:sz w:val="32"/>
          <w:szCs w:val="32"/>
        </w:rPr>
        <w:t>指除上述“财政拨款收入”、“事业收入”、“事业单位经营收入”等以外的收入。主要是按规定动用的售房收入、存款利息收入等。</w:t>
      </w:r>
    </w:p>
    <w:p>
      <w:pPr>
        <w:spacing w:line="580" w:lineRule="exact"/>
        <w:ind w:firstLine="600"/>
        <w:rPr>
          <w:rFonts w:hint="eastAsia" w:ascii="仿宋_GB2312" w:eastAsia="仿宋_GB2312"/>
          <w:color w:val="auto"/>
          <w:sz w:val="32"/>
          <w:szCs w:val="32"/>
        </w:rPr>
      </w:pPr>
      <w:r>
        <w:rPr>
          <w:rFonts w:hint="eastAsia" w:ascii="黑体" w:hAnsi="黑体" w:eastAsia="黑体"/>
          <w:color w:val="auto"/>
          <w:sz w:val="32"/>
          <w:szCs w:val="32"/>
        </w:rPr>
        <w:t>六、上级补助收入：</w:t>
      </w:r>
      <w:r>
        <w:rPr>
          <w:rFonts w:hint="eastAsia" w:ascii="仿宋_GB2312" w:eastAsia="仿宋_GB2312"/>
          <w:color w:val="auto"/>
          <w:sz w:val="32"/>
          <w:szCs w:val="32"/>
        </w:rPr>
        <w:t>指单位从主管部门和上级单位取得的非财政补助收入。</w:t>
      </w:r>
    </w:p>
    <w:p>
      <w:pPr>
        <w:spacing w:line="580" w:lineRule="exact"/>
        <w:ind w:firstLine="600"/>
        <w:rPr>
          <w:rFonts w:hint="eastAsia" w:ascii="仿宋_GB2312" w:eastAsia="仿宋_GB2312"/>
          <w:color w:val="auto"/>
          <w:sz w:val="32"/>
          <w:szCs w:val="32"/>
        </w:rPr>
      </w:pPr>
      <w:r>
        <w:rPr>
          <w:rFonts w:hint="eastAsia" w:ascii="黑体" w:hAnsi="黑体" w:eastAsia="黑体"/>
          <w:color w:val="auto"/>
          <w:sz w:val="32"/>
          <w:szCs w:val="32"/>
        </w:rPr>
        <w:t>七、附属单位上缴收入：</w:t>
      </w:r>
      <w:r>
        <w:rPr>
          <w:rFonts w:hint="eastAsia" w:ascii="仿宋_GB2312" w:eastAsia="仿宋_GB2312"/>
          <w:color w:val="auto"/>
          <w:sz w:val="32"/>
          <w:szCs w:val="32"/>
        </w:rPr>
        <w:t>指附属独立核算单位按照规定上缴的收入。</w:t>
      </w:r>
    </w:p>
    <w:p>
      <w:pPr>
        <w:spacing w:line="580" w:lineRule="exact"/>
        <w:ind w:firstLine="600"/>
        <w:rPr>
          <w:rFonts w:hint="eastAsia" w:ascii="仿宋_GB2312" w:eastAsia="仿宋_GB2312"/>
          <w:color w:val="auto"/>
          <w:sz w:val="32"/>
          <w:szCs w:val="32"/>
        </w:rPr>
      </w:pPr>
      <w:r>
        <w:rPr>
          <w:rFonts w:hint="eastAsia" w:ascii="黑体" w:hAnsi="黑体" w:eastAsia="黑体"/>
          <w:color w:val="auto"/>
          <w:sz w:val="32"/>
          <w:szCs w:val="32"/>
        </w:rPr>
        <w:t>八、用事业基金弥补收支差额：</w:t>
      </w:r>
      <w:r>
        <w:rPr>
          <w:rFonts w:hint="eastAsia" w:ascii="仿宋_GB2312" w:eastAsia="仿宋_GB2312"/>
          <w:color w:val="auto"/>
          <w:sz w:val="32"/>
          <w:szCs w:val="32"/>
        </w:rPr>
        <w:t>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pPr>
        <w:spacing w:line="580" w:lineRule="exact"/>
        <w:ind w:firstLine="600"/>
        <w:rPr>
          <w:rFonts w:hint="eastAsia" w:ascii="仿宋_GB2312" w:eastAsia="仿宋_GB2312"/>
          <w:color w:val="auto"/>
          <w:sz w:val="32"/>
          <w:szCs w:val="32"/>
        </w:rPr>
      </w:pPr>
      <w:r>
        <w:rPr>
          <w:rFonts w:hint="eastAsia" w:ascii="黑体" w:hAnsi="黑体" w:eastAsia="黑体"/>
          <w:color w:val="auto"/>
          <w:sz w:val="32"/>
          <w:szCs w:val="32"/>
        </w:rPr>
        <w:t>九、上年结转：</w:t>
      </w:r>
      <w:r>
        <w:rPr>
          <w:rFonts w:hint="eastAsia" w:ascii="仿宋_GB2312" w:eastAsia="仿宋_GB2312"/>
          <w:color w:val="auto"/>
          <w:sz w:val="32"/>
          <w:szCs w:val="32"/>
        </w:rPr>
        <w:t>指以前年度尚未完成、结转到本年仍按原规定用途继续使用的资金。</w:t>
      </w:r>
    </w:p>
    <w:p>
      <w:pPr>
        <w:spacing w:line="580" w:lineRule="exact"/>
        <w:ind w:firstLine="600"/>
        <w:rPr>
          <w:rFonts w:hint="eastAsia" w:ascii="仿宋_GB2312" w:eastAsia="仿宋_GB2312"/>
          <w:color w:val="auto"/>
          <w:sz w:val="32"/>
          <w:szCs w:val="32"/>
        </w:rPr>
      </w:pPr>
      <w:r>
        <w:rPr>
          <w:rFonts w:hint="eastAsia" w:ascii="黑体" w:hAnsi="黑体" w:eastAsia="黑体"/>
          <w:color w:val="auto"/>
          <w:sz w:val="32"/>
          <w:szCs w:val="32"/>
        </w:rPr>
        <w:t>十、基本支出：</w:t>
      </w:r>
      <w:r>
        <w:rPr>
          <w:rFonts w:hint="eastAsia" w:ascii="仿宋_GB2312" w:eastAsia="仿宋_GB2312"/>
          <w:color w:val="auto"/>
          <w:sz w:val="32"/>
          <w:szCs w:val="32"/>
        </w:rPr>
        <w:t>指为保障机构正常运转、完成日常工作任务而发生的人员经费和日常公用经费。</w:t>
      </w:r>
    </w:p>
    <w:p>
      <w:pPr>
        <w:spacing w:line="580" w:lineRule="exact"/>
        <w:ind w:firstLine="600"/>
        <w:rPr>
          <w:rFonts w:hint="eastAsia" w:ascii="仿宋_GB2312" w:eastAsia="仿宋_GB2312"/>
          <w:color w:val="auto"/>
          <w:sz w:val="32"/>
          <w:szCs w:val="32"/>
        </w:rPr>
      </w:pPr>
      <w:r>
        <w:rPr>
          <w:rFonts w:hint="eastAsia" w:ascii="黑体" w:hAnsi="黑体" w:eastAsia="黑体"/>
          <w:color w:val="auto"/>
          <w:sz w:val="32"/>
          <w:szCs w:val="32"/>
        </w:rPr>
        <w:t>十一、项目支出：</w:t>
      </w:r>
      <w:r>
        <w:rPr>
          <w:rFonts w:hint="eastAsia" w:ascii="仿宋_GB2312" w:eastAsia="仿宋_GB2312"/>
          <w:color w:val="auto"/>
          <w:sz w:val="32"/>
          <w:szCs w:val="32"/>
        </w:rPr>
        <w:t>指在基本支出之外为完成特定任务和事业发展目标所发生的支出。</w:t>
      </w:r>
    </w:p>
    <w:p>
      <w:pPr>
        <w:spacing w:line="580" w:lineRule="exact"/>
        <w:ind w:firstLine="600"/>
        <w:rPr>
          <w:rFonts w:hint="eastAsia" w:ascii="仿宋_GB2312" w:eastAsia="仿宋_GB2312"/>
          <w:color w:val="auto"/>
          <w:sz w:val="32"/>
          <w:szCs w:val="32"/>
        </w:rPr>
      </w:pPr>
      <w:r>
        <w:rPr>
          <w:rFonts w:hint="eastAsia" w:ascii="黑体" w:hAnsi="黑体" w:eastAsia="黑体"/>
          <w:color w:val="auto"/>
          <w:sz w:val="32"/>
          <w:szCs w:val="32"/>
        </w:rPr>
        <w:t>十二、“三公”经费：</w:t>
      </w:r>
      <w:r>
        <w:rPr>
          <w:rFonts w:hint="eastAsia" w:ascii="仿宋_GB2312" w:eastAsia="仿宋_GB2312"/>
          <w:color w:val="auto"/>
          <w:sz w:val="32"/>
          <w:szCs w:val="32"/>
        </w:rPr>
        <w:t>指市级部门用财政拨款安排的因公出国（境）费、公务用车购置及运行费和公务接待费。其中，因公出国（境）费反映单位公务出国（境）的国际差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接待（含外宾接待）支出。</w:t>
      </w:r>
    </w:p>
    <w:p>
      <w:pPr>
        <w:spacing w:line="580" w:lineRule="exact"/>
        <w:ind w:firstLine="600"/>
        <w:rPr>
          <w:rFonts w:hint="eastAsia" w:ascii="仿宋_GB2312" w:eastAsia="仿宋_GB2312"/>
          <w:color w:val="auto"/>
          <w:sz w:val="32"/>
          <w:szCs w:val="32"/>
        </w:rPr>
      </w:pPr>
      <w:r>
        <w:rPr>
          <w:rFonts w:hint="eastAsia" w:ascii="黑体" w:hAnsi="黑体" w:eastAsia="黑体"/>
          <w:color w:val="auto"/>
          <w:sz w:val="32"/>
          <w:szCs w:val="32"/>
        </w:rPr>
        <w:t>十三、机关运行经费：</w:t>
      </w:r>
      <w:r>
        <w:rPr>
          <w:rFonts w:hint="eastAsia" w:ascii="仿宋_GB2312" w:eastAsia="仿宋_GB2312"/>
          <w:color w:val="auto"/>
          <w:sz w:val="32"/>
          <w:szCs w:val="32"/>
        </w:rPr>
        <w:t>指行政单位（包括参照公务员法管理的事业单位）的财政拨款公用经费，包括办公及印刷费、邮电费、差旅费、会议费、福利费、日常维修费、专用材料及一般设备购置费、办公用房水电费、办公用房取暖费、办公用房物业管理费、公务用车运行维护费以及其他费用。</w:t>
      </w:r>
    </w:p>
    <w:p>
      <w:pPr>
        <w:rPr>
          <w:rFonts w:hint="eastAsia" w:eastAsia="宋体"/>
          <w:lang w:eastAsia="zh-CN"/>
        </w:rPr>
      </w:pPr>
    </w:p>
    <w:sectPr>
      <w:footerReference r:id="rId3" w:type="default"/>
      <w:footerReference r:id="rId4" w:type="even"/>
      <w:pgSz w:w="11906" w:h="16838"/>
      <w:pgMar w:top="2098" w:right="1474" w:bottom="1871"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简大标宋">
    <w:altName w:val="宋体"/>
    <w:panose1 w:val="0201060900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Style w:val="5"/>
        <w:rFonts w:hint="eastAsia"/>
        <w:sz w:val="21"/>
        <w:szCs w:val="21"/>
      </w:rPr>
    </w:pPr>
  </w:p>
  <w:p>
    <w:pPr>
      <w:pStyle w:val="2"/>
      <w:jc w:val="center"/>
      <w:rPr>
        <w:sz w:val="24"/>
        <w:szCs w:val="24"/>
      </w:rPr>
    </w:pPr>
    <w:r>
      <w:rPr>
        <w:rStyle w:val="5"/>
        <w:rFonts w:hint="eastAsia"/>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10</w:t>
    </w:r>
    <w:r>
      <w:rPr>
        <w:sz w:val="24"/>
        <w:szCs w:val="24"/>
      </w:rPr>
      <w:fldChar w:fldCharType="end"/>
    </w:r>
    <w:r>
      <w:rPr>
        <w:rFonts w:hint="eastAsia"/>
        <w:sz w:val="24"/>
        <w:szCs w:val="24"/>
      </w:rPr>
      <w:t xml:space="preserve"> </w:t>
    </w:r>
    <w:r>
      <w:rPr>
        <w:rStyle w:val="5"/>
        <w:rFonts w:hint="eastAsia"/>
        <w:sz w:val="24"/>
        <w:szCs w:val="24"/>
      </w:rPr>
      <w:t>—</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A6363"/>
    <w:rsid w:val="04092203"/>
    <w:rsid w:val="04D138EC"/>
    <w:rsid w:val="050A4E8C"/>
    <w:rsid w:val="06B62894"/>
    <w:rsid w:val="07D540AD"/>
    <w:rsid w:val="08FB7B90"/>
    <w:rsid w:val="0B232A37"/>
    <w:rsid w:val="0BFF0BE1"/>
    <w:rsid w:val="0DFE4BB2"/>
    <w:rsid w:val="0FDF7D20"/>
    <w:rsid w:val="10E726E1"/>
    <w:rsid w:val="126D31D1"/>
    <w:rsid w:val="133C3D99"/>
    <w:rsid w:val="14BA1025"/>
    <w:rsid w:val="155F1210"/>
    <w:rsid w:val="1AAC3D8A"/>
    <w:rsid w:val="1B0B624C"/>
    <w:rsid w:val="1C07064A"/>
    <w:rsid w:val="1CF00F39"/>
    <w:rsid w:val="1E5C3101"/>
    <w:rsid w:val="214D74B4"/>
    <w:rsid w:val="21AD51B7"/>
    <w:rsid w:val="22D12E48"/>
    <w:rsid w:val="22DA644F"/>
    <w:rsid w:val="233B6B2E"/>
    <w:rsid w:val="240D6495"/>
    <w:rsid w:val="242D3779"/>
    <w:rsid w:val="28363B33"/>
    <w:rsid w:val="28B13629"/>
    <w:rsid w:val="28D633C9"/>
    <w:rsid w:val="2A6E22B8"/>
    <w:rsid w:val="2B0F2AB6"/>
    <w:rsid w:val="2CC775CD"/>
    <w:rsid w:val="2CC92788"/>
    <w:rsid w:val="2DA81D40"/>
    <w:rsid w:val="2E6D74D4"/>
    <w:rsid w:val="2EC87A9A"/>
    <w:rsid w:val="30FA6363"/>
    <w:rsid w:val="31FC38AE"/>
    <w:rsid w:val="32AE5697"/>
    <w:rsid w:val="33854636"/>
    <w:rsid w:val="34077D09"/>
    <w:rsid w:val="34AC13A9"/>
    <w:rsid w:val="34AE2CC1"/>
    <w:rsid w:val="34C87C77"/>
    <w:rsid w:val="35992AA4"/>
    <w:rsid w:val="35A37E0A"/>
    <w:rsid w:val="35EF34D6"/>
    <w:rsid w:val="36570A92"/>
    <w:rsid w:val="39D96831"/>
    <w:rsid w:val="3B650380"/>
    <w:rsid w:val="3B6F6406"/>
    <w:rsid w:val="3B921D87"/>
    <w:rsid w:val="3CDE1D41"/>
    <w:rsid w:val="3D496DFB"/>
    <w:rsid w:val="3D5D0FE2"/>
    <w:rsid w:val="3D7D1A29"/>
    <w:rsid w:val="3E501DE3"/>
    <w:rsid w:val="3E5810A9"/>
    <w:rsid w:val="40161238"/>
    <w:rsid w:val="40500587"/>
    <w:rsid w:val="40687064"/>
    <w:rsid w:val="41531E4E"/>
    <w:rsid w:val="42154E57"/>
    <w:rsid w:val="43B3282E"/>
    <w:rsid w:val="441670BC"/>
    <w:rsid w:val="443D6A33"/>
    <w:rsid w:val="44F31842"/>
    <w:rsid w:val="48B77514"/>
    <w:rsid w:val="48B87D68"/>
    <w:rsid w:val="4A04793B"/>
    <w:rsid w:val="4E3B0530"/>
    <w:rsid w:val="4E3E0A07"/>
    <w:rsid w:val="4E4F3404"/>
    <w:rsid w:val="4F30282D"/>
    <w:rsid w:val="511203CA"/>
    <w:rsid w:val="517F2CB4"/>
    <w:rsid w:val="53BC3320"/>
    <w:rsid w:val="556940F5"/>
    <w:rsid w:val="57203277"/>
    <w:rsid w:val="573F66B1"/>
    <w:rsid w:val="59AA15B3"/>
    <w:rsid w:val="5ADD28E5"/>
    <w:rsid w:val="5D252C40"/>
    <w:rsid w:val="5D806A2B"/>
    <w:rsid w:val="5D924AD9"/>
    <w:rsid w:val="5EC06523"/>
    <w:rsid w:val="60570FAD"/>
    <w:rsid w:val="612F4EF2"/>
    <w:rsid w:val="618751F9"/>
    <w:rsid w:val="62966069"/>
    <w:rsid w:val="64B40058"/>
    <w:rsid w:val="64D97B87"/>
    <w:rsid w:val="67F8276B"/>
    <w:rsid w:val="69900DAC"/>
    <w:rsid w:val="69B94E8A"/>
    <w:rsid w:val="6A433B4D"/>
    <w:rsid w:val="6A9F5B40"/>
    <w:rsid w:val="6E5D1C74"/>
    <w:rsid w:val="6EB4329B"/>
    <w:rsid w:val="6FE91A3B"/>
    <w:rsid w:val="71605B93"/>
    <w:rsid w:val="72B14C2F"/>
    <w:rsid w:val="733506DE"/>
    <w:rsid w:val="75592FD4"/>
    <w:rsid w:val="75937C38"/>
    <w:rsid w:val="782906F7"/>
    <w:rsid w:val="78677619"/>
    <w:rsid w:val="79D25CDE"/>
    <w:rsid w:val="7A551BB2"/>
    <w:rsid w:val="7AFA19C7"/>
    <w:rsid w:val="7C01222F"/>
    <w:rsid w:val="7D6521C5"/>
    <w:rsid w:val="7E0D3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收入预算</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财政拨款</c:v>
                </c:pt>
                <c:pt idx="1">
                  <c:v>事业收入</c:v>
                </c:pt>
                <c:pt idx="2">
                  <c:v>财政专户</c:v>
                </c:pt>
                <c:pt idx="3">
                  <c:v>上年结转</c:v>
                </c:pt>
              </c:strCache>
            </c:strRef>
          </c:cat>
          <c:val>
            <c:numRef>
              <c:f>Sheet1!$B$2:$B$5</c:f>
              <c:numCache>
                <c:formatCode>General</c:formatCode>
                <c:ptCount val="4"/>
                <c:pt idx="0">
                  <c:v>191.47</c:v>
                </c:pt>
                <c:pt idx="1">
                  <c:v>0</c:v>
                </c:pt>
                <c:pt idx="2">
                  <c:v>0</c:v>
                </c:pt>
                <c:pt idx="3">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支出情况</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168.47</c:v>
                </c:pt>
                <c:pt idx="1">
                  <c:v>23</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2021-05-14T09:03:00Z</dcterms:created>
  <dc:creator>Administrator</dc:creator>
  <cp:lastModifiedBy>Administrator</cp:lastModifiedBy>
  <dcterms:modified xsi:type="dcterms:W3CDTF">2021-05-17T01:07:58Z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6C9DA3B6D67442DCB8F823890C6490EE</vt:lpwstr>
  </property>
</Properties>
</file>